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napToGrid w:val="0"/>
        <w:spacing w:line="360" w:lineRule="auto"/>
        <w:ind w:right="-63" w:rightChars="-30"/>
        <w:jc w:val="center"/>
        <w:rPr>
          <w:rFonts w:ascii="楷体_GB2312" w:hAnsi="宋体" w:eastAsia="楷体_GB2312"/>
          <w:sz w:val="30"/>
          <w:szCs w:val="30"/>
        </w:rPr>
      </w:pPr>
      <w:r>
        <w:rPr>
          <w:rFonts w:hint="eastAsia" w:ascii="仿宋_GB2312" w:hAnsi="宋体" w:eastAsia="仿宋_GB2312" w:cs="仿宋_GB2312"/>
          <w:sz w:val="30"/>
          <w:szCs w:val="30"/>
        </w:rPr>
        <w:t>中装协〔</w:t>
      </w:r>
      <w:r>
        <w:rPr>
          <w:rFonts w:ascii="仿宋_GB2312" w:hAnsi="宋体" w:eastAsia="仿宋_GB2312" w:cs="仿宋_GB2312"/>
          <w:sz w:val="30"/>
          <w:szCs w:val="30"/>
        </w:rPr>
        <w:t>20</w:t>
      </w:r>
      <w:r>
        <w:rPr>
          <w:rFonts w:hint="eastAsia" w:ascii="仿宋_GB2312" w:hAnsi="宋体" w:eastAsia="仿宋_GB2312" w:cs="仿宋_GB2312"/>
          <w:sz w:val="30"/>
          <w:szCs w:val="30"/>
        </w:rPr>
        <w:t>2</w:t>
      </w:r>
      <w:r>
        <w:rPr>
          <w:rFonts w:ascii="仿宋_GB2312" w:hAnsi="宋体" w:eastAsia="仿宋_GB2312" w:cs="仿宋_GB2312"/>
          <w:sz w:val="30"/>
          <w:szCs w:val="30"/>
        </w:rPr>
        <w:t>1</w:t>
      </w:r>
      <w:r>
        <w:rPr>
          <w:rFonts w:hint="eastAsia" w:ascii="仿宋_GB2312" w:hAnsi="宋体" w:eastAsia="仿宋_GB2312" w:cs="仿宋_GB2312"/>
          <w:sz w:val="30"/>
          <w:szCs w:val="30"/>
        </w:rPr>
        <w:t>〕</w:t>
      </w:r>
      <w:r>
        <w:rPr>
          <w:rFonts w:hint="eastAsia" w:ascii="仿宋_GB2312" w:hAnsi="宋体" w:eastAsia="仿宋_GB2312" w:cs="仿宋_GB2312"/>
          <w:sz w:val="30"/>
          <w:szCs w:val="30"/>
          <w:lang w:val="en-US" w:eastAsia="zh-CN"/>
        </w:rPr>
        <w:t>85</w:t>
      </w:r>
      <w:r>
        <w:rPr>
          <w:rFonts w:hint="eastAsia" w:ascii="仿宋_GB2312" w:hAnsi="宋体" w:eastAsia="仿宋_GB2312" w:cs="仿宋_GB2312"/>
          <w:sz w:val="30"/>
          <w:szCs w:val="30"/>
        </w:rPr>
        <w:t>号</w:t>
      </w:r>
      <w:r>
        <w:rPr>
          <w:rFonts w:ascii="宋体" w:hAnsi="宋体" w:cs="宋体"/>
          <w:sz w:val="24"/>
          <w:szCs w:val="24"/>
        </w:rPr>
        <w:t xml:space="preserve">    </w:t>
      </w:r>
      <w:bookmarkStart w:id="0" w:name="_GoBack"/>
      <w:bookmarkEnd w:id="0"/>
      <w:r>
        <w:rPr>
          <w:rFonts w:ascii="宋体" w:hAnsi="宋体" w:cs="宋体"/>
          <w:sz w:val="24"/>
          <w:szCs w:val="24"/>
        </w:rPr>
        <w:t xml:space="preserve">             </w:t>
      </w:r>
      <w:r>
        <w:rPr>
          <w:rFonts w:hint="eastAsia" w:ascii="仿宋_GB2312" w:hAnsi="宋体" w:eastAsia="仿宋_GB2312" w:cs="仿宋_GB2312"/>
          <w:sz w:val="30"/>
          <w:szCs w:val="30"/>
        </w:rPr>
        <w:t>签发人：张京跃</w:t>
      </w:r>
    </w:p>
    <w:p>
      <w:pPr>
        <w:spacing w:line="360" w:lineRule="auto"/>
        <w:rPr>
          <w:rFonts w:ascii="仿宋_GB2312" w:eastAsia="仿宋_GB2312"/>
          <w:sz w:val="32"/>
          <w:szCs w:val="32"/>
        </w:rPr>
      </w:pPr>
    </w:p>
    <w:p>
      <w:pPr>
        <w:spacing w:line="276" w:lineRule="auto"/>
        <w:ind w:left="1325" w:hanging="1084" w:hangingChars="300"/>
        <w:jc w:val="center"/>
        <w:rPr>
          <w:rFonts w:hint="eastAsia" w:ascii="方正小标宋简体" w:eastAsia="方正小标宋简体"/>
          <w:b/>
          <w:sz w:val="36"/>
          <w:szCs w:val="36"/>
        </w:rPr>
      </w:pPr>
      <w:r>
        <w:rPr>
          <w:rFonts w:hint="eastAsia" w:ascii="方正小标宋简体" w:eastAsia="方正小标宋简体"/>
          <w:b/>
          <w:sz w:val="36"/>
          <w:szCs w:val="36"/>
        </w:rPr>
        <w:t>关于邀请组团参观“FBC中国国际门窗幕墙博览会”</w:t>
      </w:r>
    </w:p>
    <w:p>
      <w:pPr>
        <w:spacing w:line="276" w:lineRule="auto"/>
        <w:ind w:left="1325" w:hanging="1084" w:hangingChars="300"/>
        <w:jc w:val="center"/>
        <w:rPr>
          <w:rFonts w:hint="eastAsia" w:ascii="方正小标宋简体" w:eastAsia="方正小标宋简体"/>
          <w:b/>
          <w:sz w:val="36"/>
          <w:szCs w:val="36"/>
        </w:rPr>
      </w:pPr>
      <w:r>
        <w:rPr>
          <w:rFonts w:hint="eastAsia" w:ascii="方正小标宋简体" w:eastAsia="方正小标宋简体"/>
          <w:b/>
          <w:sz w:val="36"/>
          <w:szCs w:val="36"/>
        </w:rPr>
        <w:t>及同期活动的通知</w:t>
      </w:r>
    </w:p>
    <w:p/>
    <w:p>
      <w:pPr>
        <w:pStyle w:val="15"/>
        <w:spacing w:before="156"/>
        <w:rPr>
          <w:rFonts w:hint="eastAsia" w:ascii="仿宋" w:hAnsi="仿宋" w:eastAsia="仿宋" w:cs="仿宋"/>
          <w:sz w:val="32"/>
          <w:szCs w:val="32"/>
          <w:lang w:val="en-US" w:eastAsia="zh-CN"/>
        </w:rPr>
      </w:pPr>
      <w:r>
        <w:rPr>
          <w:rFonts w:hint="eastAsia" w:ascii="仿宋" w:hAnsi="仿宋" w:eastAsia="仿宋"/>
          <w:sz w:val="32"/>
          <w:szCs w:val="32"/>
        </w:rPr>
        <w:t>各省、自治区、直辖市建筑装饰协会（分会），各有关单位：</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作为中国建筑装饰协会年度重要活动之一，FENESTRATION BAU China中国国际门窗幕墙博览会（以下简称“FBC博览会”）将于2021年11月2-5日在上海·新国际博览中心盛大举行。FBC博览会由中国建筑装饰协会、中国建筑金属结构协会、欧洲门窗协会、慕尼黑博览集团、中联慕尼（北京）国际会展有限公司共同主办，是亚太地区领先的定位于“亚太一站式门窗幕墙解决方案”的顶尖平台。</w:t>
      </w:r>
    </w:p>
    <w:p>
      <w:pPr>
        <w:pStyle w:val="15"/>
        <w:spacing w:before="156"/>
        <w:ind w:firstLine="560"/>
        <w:rPr>
          <w:rFonts w:hint="eastAsia" w:ascii="仿宋" w:hAnsi="仿宋" w:eastAsia="仿宋" w:cs="仿宋"/>
          <w:sz w:val="32"/>
          <w:szCs w:val="32"/>
        </w:rPr>
        <w:sectPr>
          <w:footerReference r:id="rId3" w:type="default"/>
          <w:pgSz w:w="11906" w:h="16838"/>
          <w:pgMar w:top="3628" w:right="1247" w:bottom="1871"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 w:hAnsi="仿宋" w:eastAsia="仿宋" w:cs="仿宋"/>
          <w:sz w:val="32"/>
          <w:szCs w:val="32"/>
        </w:rPr>
        <w:t>FBC博览会创办于2003年，经过19年的发展，已经成长为全亚洲最大的建筑门窗幕墙系统解决方案博览会。届时将与亚洲屋面及防水领域的旗舰展——中国国际屋面和建筑防水技术展览会</w:t>
      </w:r>
      <w:r>
        <w:rPr>
          <w:rFonts w:hint="eastAsia" w:ascii="仿宋" w:hAnsi="仿宋" w:cs="仿宋"/>
          <w:sz w:val="32"/>
          <w:szCs w:val="32"/>
          <w:lang w:eastAsia="zh-CN"/>
        </w:rPr>
        <w:t>、</w:t>
      </w:r>
      <w:r>
        <w:rPr>
          <w:rFonts w:hint="eastAsia" w:ascii="仿宋" w:hAnsi="仿宋" w:eastAsia="仿宋" w:cs="仿宋"/>
          <w:sz w:val="32"/>
          <w:szCs w:val="32"/>
        </w:rPr>
        <w:t>专注于服务建筑师群体的平台——CADE建筑设计博览会以及汇聚了众多开发企业的地产科技博览会——RealTech国际未来地产博</w:t>
      </w:r>
    </w:p>
    <w:p>
      <w:pPr>
        <w:pStyle w:val="15"/>
        <w:spacing w:before="156"/>
        <w:rPr>
          <w:rFonts w:hint="eastAsia" w:ascii="仿宋" w:hAnsi="仿宋" w:eastAsia="仿宋" w:cs="仿宋"/>
          <w:sz w:val="32"/>
          <w:szCs w:val="32"/>
        </w:rPr>
      </w:pPr>
      <w:r>
        <w:rPr>
          <w:rFonts w:hint="eastAsia" w:ascii="仿宋" w:hAnsi="仿宋" w:eastAsia="仿宋" w:cs="仿宋"/>
          <w:sz w:val="32"/>
          <w:szCs w:val="32"/>
        </w:rPr>
        <w:t>览会同期同地举办。四展共同构成了目前亚太最具规模和影响力的建筑系统解决方案超级联展。区别于千篇一律的建筑材料展示，本届展会不仅是亚太地区规模最大、体系最完整的建筑系统解决方案平台，更是打破了传统展会单一逻辑的构建方式，打通了从</w:t>
      </w:r>
      <w:r>
        <w:rPr>
          <w:rFonts w:hint="eastAsia" w:ascii="仿宋" w:hAnsi="仿宋" w:eastAsia="仿宋" w:cs="仿宋"/>
          <w:b w:val="0"/>
          <w:bCs w:val="0"/>
          <w:sz w:val="32"/>
          <w:szCs w:val="32"/>
        </w:rPr>
        <w:t>地产开发、建筑设计、建造施工、建筑细部解决方案到运维服务</w:t>
      </w:r>
      <w:r>
        <w:rPr>
          <w:rFonts w:hint="eastAsia" w:ascii="仿宋" w:hAnsi="仿宋" w:eastAsia="仿宋" w:cs="仿宋"/>
          <w:sz w:val="32"/>
          <w:szCs w:val="32"/>
        </w:rPr>
        <w:t>的建筑全生命周期，多维度的整合建筑全系资源。</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本届展会现场覆盖“建筑设计及新材料”、“建筑屋面”、“建筑外立面”、“建筑防水”、“建筑防火”、“建筑保温”、“建筑遮阳与通风”、“建筑密封”等全产业链解决方案，展出规模达到16.5万平米，预计吸引19万行业专业观众，超过1200家重磅企业参与展示。现场还将举办近百场峰会、论坛、沙龙及技术交流会、对接会等，共同围绕建筑各大趋势热点展开交流与探讨，这将是建筑装饰企业、室内设计师不容错过的旗舰盛会。</w:t>
      </w:r>
    </w:p>
    <w:p>
      <w:pPr>
        <w:pStyle w:val="2"/>
        <w:bidi w:val="0"/>
        <w:rPr>
          <w:rFonts w:hint="eastAsia"/>
        </w:rPr>
      </w:pPr>
      <w:r>
        <w:rPr>
          <w:rFonts w:hint="eastAsia"/>
        </w:rPr>
        <w:t>一、FBC博览会基本信息</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名称：FENESTRATION BAU China中国国际门窗幕墙博览会</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时间：2021年11月2- 5日</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地点：上海新国际博览中心（上海市浦东新区花木路2345号）</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主办单位：中国建筑装饰协会   </w:t>
      </w:r>
    </w:p>
    <w:p>
      <w:pPr>
        <w:pStyle w:val="15"/>
        <w:spacing w:before="156"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中国建筑金属结构协会</w:t>
      </w:r>
    </w:p>
    <w:p>
      <w:pPr>
        <w:pStyle w:val="15"/>
        <w:spacing w:before="156"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欧洲门窗协会</w:t>
      </w:r>
    </w:p>
    <w:p>
      <w:pPr>
        <w:pStyle w:val="15"/>
        <w:spacing w:before="156" w:line="240" w:lineRule="auto"/>
        <w:rPr>
          <w:rFonts w:hint="eastAsia" w:ascii="仿宋" w:hAnsi="仿宋" w:eastAsia="仿宋" w:cs="仿宋"/>
          <w:sz w:val="32"/>
          <w:szCs w:val="32"/>
        </w:rPr>
      </w:pPr>
      <w:r>
        <w:rPr>
          <w:rFonts w:hint="eastAsia" w:ascii="仿宋" w:hAnsi="仿宋" w:eastAsia="仿宋" w:cs="仿宋"/>
          <w:sz w:val="32"/>
          <w:szCs w:val="32"/>
        </w:rPr>
        <w:t xml:space="preserve">                慕尼黑博览集团        </w:t>
      </w:r>
    </w:p>
    <w:p>
      <w:pPr>
        <w:pStyle w:val="15"/>
        <w:spacing w:before="156"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中联慕尼 (北京) 国际会展有限公司</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同期举办：CADE建筑设计博览会</w:t>
      </w:r>
    </w:p>
    <w:p>
      <w:pPr>
        <w:pStyle w:val="15"/>
        <w:spacing w:before="156"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RealTech国际未来地产博览会</w:t>
      </w:r>
    </w:p>
    <w:p>
      <w:pPr>
        <w:pStyle w:val="15"/>
        <w:spacing w:before="156" w:line="240" w:lineRule="auto"/>
        <w:ind w:firstLine="2240" w:firstLineChars="700"/>
        <w:rPr>
          <w:rFonts w:hint="eastAsia" w:ascii="仿宋" w:hAnsi="仿宋" w:eastAsia="仿宋" w:cs="仿宋"/>
          <w:sz w:val="32"/>
          <w:szCs w:val="32"/>
        </w:rPr>
      </w:pPr>
      <w:r>
        <w:rPr>
          <w:rFonts w:hint="eastAsia" w:ascii="仿宋" w:hAnsi="仿宋" w:eastAsia="仿宋" w:cs="仿宋"/>
          <w:sz w:val="32"/>
          <w:szCs w:val="32"/>
        </w:rPr>
        <w:t>R&amp;W中国国际屋面和建筑防水技术展览会</w:t>
      </w:r>
    </w:p>
    <w:p>
      <w:pPr>
        <w:pStyle w:val="2"/>
        <w:bidi w:val="0"/>
        <w:rPr>
          <w:rFonts w:hint="eastAsia"/>
        </w:rPr>
      </w:pPr>
      <w:r>
        <w:rPr>
          <w:rFonts w:hint="eastAsia"/>
        </w:rPr>
        <w:t>二、展览展示</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本届展会不再是传统的产品展示方式，而是更多采取了沉浸式体验的场景打造，将新材料、新技术、新工艺、新结构进行了富有层次的多维呈现。</w:t>
      </w:r>
    </w:p>
    <w:p>
      <w:pPr>
        <w:pStyle w:val="3"/>
        <w:bidi w:val="0"/>
        <w:rPr>
          <w:rFonts w:hint="eastAsia"/>
        </w:rPr>
      </w:pPr>
      <w:r>
        <w:rPr>
          <w:rFonts w:hint="eastAsia"/>
        </w:rPr>
        <w:t>（一）建筑门窗幕墙系统解决方案</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当前建筑行业发展步入新赛道，把握行业发展趋势并提前布局，专注产品革新与升级成为各企业的发展主题。2021FBC博览会展品涵盖各类系统门窗、幕墙系统、建筑玻璃、外墙材料、建筑遮阳、门及门控系统、密封产品、隔热材料、五金配套件、生产设备等相关领域，从材料供应、生产制造到系统集成，为建筑装饰及工程领域提供一站式门窗幕墙系统解决方案。</w:t>
      </w:r>
    </w:p>
    <w:p>
      <w:pPr>
        <w:pStyle w:val="15"/>
        <w:spacing w:before="156"/>
        <w:ind w:left="496" w:leftChars="236"/>
        <w:rPr>
          <w:rFonts w:hint="eastAsia" w:ascii="仿宋" w:hAnsi="仿宋" w:eastAsia="仿宋" w:cs="仿宋"/>
          <w:sz w:val="32"/>
          <w:szCs w:val="32"/>
        </w:rPr>
      </w:pPr>
      <w:r>
        <w:rPr>
          <w:rFonts w:hint="eastAsia" w:ascii="仿宋" w:hAnsi="仿宋" w:eastAsia="仿宋" w:cs="仿宋"/>
          <w:sz w:val="32"/>
          <w:szCs w:val="32"/>
        </w:rPr>
        <w:t>1. 建筑外立面/建筑遮阳/建筑防火解决方案—N3</w:t>
      </w:r>
    </w:p>
    <w:p>
      <w:pPr>
        <w:pStyle w:val="15"/>
        <w:spacing w:before="156"/>
        <w:ind w:left="496" w:leftChars="236"/>
        <w:rPr>
          <w:rFonts w:hint="eastAsia" w:ascii="仿宋" w:hAnsi="仿宋" w:eastAsia="仿宋" w:cs="仿宋"/>
          <w:sz w:val="32"/>
          <w:szCs w:val="32"/>
        </w:rPr>
      </w:pPr>
      <w:r>
        <w:rPr>
          <w:rFonts w:hint="eastAsia" w:ascii="仿宋" w:hAnsi="仿宋" w:eastAsia="仿宋" w:cs="仿宋"/>
          <w:sz w:val="32"/>
          <w:szCs w:val="32"/>
        </w:rPr>
        <w:t>2. 系统门窗及创新解决方案—N4、N5</w:t>
      </w:r>
    </w:p>
    <w:p>
      <w:pPr>
        <w:pStyle w:val="15"/>
        <w:spacing w:before="156"/>
        <w:ind w:left="496" w:leftChars="236"/>
        <w:rPr>
          <w:rFonts w:hint="eastAsia" w:ascii="仿宋" w:hAnsi="仿宋" w:eastAsia="仿宋" w:cs="仿宋"/>
          <w:sz w:val="32"/>
          <w:szCs w:val="32"/>
        </w:rPr>
      </w:pPr>
      <w:r>
        <w:rPr>
          <w:rFonts w:hint="eastAsia" w:ascii="仿宋" w:hAnsi="仿宋" w:eastAsia="仿宋" w:cs="仿宋"/>
          <w:sz w:val="32"/>
          <w:szCs w:val="32"/>
        </w:rPr>
        <w:t>3. 定制门窗及创新解决方案—E6、E7</w:t>
      </w:r>
    </w:p>
    <w:p>
      <w:pPr>
        <w:pStyle w:val="15"/>
        <w:spacing w:before="156"/>
        <w:ind w:left="496" w:leftChars="236"/>
        <w:rPr>
          <w:rFonts w:hint="eastAsia" w:ascii="仿宋" w:hAnsi="仿宋" w:eastAsia="仿宋" w:cs="仿宋"/>
          <w:sz w:val="32"/>
          <w:szCs w:val="32"/>
        </w:rPr>
      </w:pPr>
      <w:r>
        <w:rPr>
          <w:rFonts w:hint="eastAsia" w:ascii="仿宋" w:hAnsi="仿宋" w:eastAsia="仿宋" w:cs="仿宋"/>
          <w:sz w:val="32"/>
          <w:szCs w:val="32"/>
        </w:rPr>
        <w:t>4. 五金/密封解决方案—N1、N2</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关键词：技术革新、产品创新、绿色低碳、智能化</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（二）同期其他建筑解决方案</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1. 建筑屋面及防水解决方案- W1、W2、W3</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关键词：新型屋面系统、建筑光伏系统、绿色建筑</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2. 建筑设计及创新材料解决方案—W5</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关键词：数字科技、城市更新、室内外一体化、绿色双碳</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3. 地产综合解决方案—W4</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关键词： 绿色健康、城市运营、智能智慧、工业建造</w:t>
      </w:r>
    </w:p>
    <w:p>
      <w:pPr>
        <w:pStyle w:val="2"/>
        <w:bidi w:val="0"/>
        <w:rPr>
          <w:rFonts w:hint="eastAsia"/>
        </w:rPr>
      </w:pPr>
      <w:r>
        <w:rPr>
          <w:rFonts w:hint="eastAsia"/>
        </w:rPr>
        <w:t>三、会议活动</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1. 中国幕墙设计与施工高峰论坛</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——超复杂幕墙案例的实践</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 xml:space="preserve">时间：2021年11月1日  </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 • 浦东星河湾酒店</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中国幕墙设计与施工高峰论坛将剖析最高难度的幕墙施工案例、汇聚最知名的顶尖幕墙工程单位：中建深装、江河、金螳螂、方大建科等，解析当前最新、最热的幕墙典型案例，如国会二期、上港风塔、重庆太阳座、深圳前海国际会议中心、山西未来能源馆、河南科技馆等施工难点，带来超复杂幕墙工程的新技术、新工艺及建造新趋势。</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2. BCC中国国际建筑科技大会</w:t>
      </w:r>
    </w:p>
    <w:p>
      <w:pPr>
        <w:pStyle w:val="15"/>
        <w:spacing w:before="156" w:line="240" w:lineRule="auto"/>
        <w:ind w:firstLine="560"/>
        <w:rPr>
          <w:rFonts w:hint="eastAsia" w:ascii="仿宋" w:hAnsi="仿宋" w:eastAsia="仿宋" w:cs="仿宋"/>
          <w:b w:val="0"/>
          <w:bCs w:val="0"/>
          <w:sz w:val="32"/>
          <w:szCs w:val="32"/>
        </w:rPr>
      </w:pPr>
      <w:r>
        <w:rPr>
          <w:rFonts w:hint="eastAsia" w:ascii="仿宋" w:hAnsi="仿宋" w:eastAsia="仿宋" w:cs="仿宋"/>
          <w:b w:val="0"/>
          <w:bCs w:val="0"/>
          <w:sz w:val="32"/>
          <w:szCs w:val="32"/>
        </w:rPr>
        <w:t>——建筑设计理念的重塑</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时间：2021年11月2-4日</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地点：上海新国际博览中心 W5馆</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在未来的25年里，生活和工作方式的转变、人口以及气候的变化等带来的挑战促使着人们重新思考：如何更好的设计未来的建筑。2021年BCC中国国际建筑科技大会特别邀请：王建国、吴志强、张利、李翔宁、Steven Smit、张岳、Chris Hardie、吴晨、章明、宋晔皓等国内外知名建筑大师，就城市发展与公共空间、高质量建筑、建筑人文尺度、建筑与都市生活：韧性与可持续、智能公共建筑等几个主题进行精彩演绎及解读，带来全新的设计理念与行业思考。</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3. 筑幕——幕墙技术与新品主题特展区及系列沙龙</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时间：2021年11月2-5日</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地点：上海新国际博览中心 N3馆</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该展区由中国建筑装饰协会幕墙工程分会与中联慕尼联合主办，特邀</w:t>
      </w:r>
      <w:r>
        <w:rPr>
          <w:rFonts w:hint="eastAsia" w:ascii="仿宋" w:hAnsi="仿宋" w:eastAsia="仿宋" w:cs="仿宋"/>
          <w:color w:val="333333"/>
          <w:sz w:val="32"/>
          <w:szCs w:val="32"/>
          <w:shd w:val="clear" w:color="auto" w:fill="FFFFFF"/>
        </w:rPr>
        <w:t>建筑帷幕领域颇有建树的资深建筑师</w:t>
      </w:r>
      <w:r>
        <w:rPr>
          <w:rFonts w:hint="eastAsia" w:ascii="仿宋" w:hAnsi="仿宋" w:eastAsia="仿宋" w:cs="仿宋"/>
          <w:sz w:val="32"/>
          <w:szCs w:val="32"/>
        </w:rPr>
        <w:t>罗忆及其所在的工作室作为总策展人、幕墙施工领域享有盛誉的苏州金螳螂幕墙有限公司做深化设计单位。该主题展区拟邀请竹钢、建筑光伏、铝塑板、玻璃、陶板/碳砖、阳极氧化板、金属铝板等十余家新材料企业场景化展示不同材料的可塑性及技术节点，同时还将针对幕墙设计理念、超高难度案例、创新材料应用等方向展开为期3天的沙龙活动，以期促进建筑设计、幕墙设计、材料加工、幕墙施工等全产业链中不同角色的互通交融，打造幕墙行业独具引领性的有机融合的桥梁。</w:t>
      </w:r>
    </w:p>
    <w:p>
      <w:pPr>
        <w:pStyle w:val="3"/>
        <w:ind w:firstLine="562"/>
        <w:rPr>
          <w:rFonts w:hint="eastAsia" w:ascii="仿宋" w:hAnsi="仿宋" w:eastAsia="仿宋" w:cs="仿宋"/>
          <w:sz w:val="32"/>
          <w:szCs w:val="32"/>
        </w:rPr>
      </w:pPr>
      <w:r>
        <w:rPr>
          <w:rFonts w:hint="eastAsia" w:ascii="仿宋" w:hAnsi="仿宋" w:eastAsia="仿宋" w:cs="仿宋"/>
          <w:b w:val="0"/>
          <w:bCs w:val="0"/>
          <w:sz w:val="32"/>
          <w:szCs w:val="32"/>
        </w:rPr>
        <w:t>4. Fenestration Days China 中国国际门窗幕墙高级研讨会</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时间：2021年10月31-11月1日</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地点：上海 • 浦东星河湾酒店</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主题：“双碳”驱动 | 门窗幕墙行业技术革新与变局突围</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创办于2003年，FDC中国国际门窗幕墙高级研讨会目前已经是全亚洲最高端的门窗幕墙专业技术型研讨会，于展会前两天举办。本届研讨会特设“双碳驱动-门窗幕墙政策与标准解读”、“建筑门窗幕墙行业革新趋势”、“门窗产品力迭代与技术革新”、“工装&amp;家装转型与技术思考”等专场，以多维视角对于行业热议话题和技术痛点进行极具前瞻性的专业解读，旨在为工程单位技术及施工人员提供最前沿的行业观察及最行之有效的问题解决方案。</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5.  建筑门窗安装演示</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时间：2021年11月2-4日</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 • 新国际博览中心 E6馆</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门窗三分制作、七分安装。工程及家装项目中，由于技术工人良莠不齐、门窗安装不到位导致出现漏气、漏水、漏风等问题频频发生，而建筑安全隐患事故更是引发了行业乃至全社会的关注。建筑门窗安装演示不仅带来不同类型建筑的门窗安装工法技艺，还会更加深入到技术与性能，关注“最后1毫米”的密封保温等门窗细部操作。</w:t>
      </w:r>
    </w:p>
    <w:p>
      <w:pPr>
        <w:pStyle w:val="3"/>
        <w:ind w:firstLine="562"/>
        <w:rPr>
          <w:rFonts w:hint="eastAsia" w:ascii="仿宋" w:hAnsi="仿宋" w:eastAsia="仿宋" w:cs="仿宋"/>
          <w:b w:val="0"/>
          <w:bCs w:val="0"/>
          <w:sz w:val="32"/>
          <w:szCs w:val="32"/>
        </w:rPr>
      </w:pPr>
      <w:r>
        <w:rPr>
          <w:rFonts w:hint="eastAsia" w:ascii="仿宋" w:hAnsi="仿宋" w:eastAsia="仿宋" w:cs="仿宋"/>
          <w:b w:val="0"/>
          <w:bCs w:val="0"/>
          <w:sz w:val="32"/>
          <w:szCs w:val="32"/>
        </w:rPr>
        <w:t>6. 首届中国青年屋面工（防水工）冠军赛</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时间：2021年11月2日-11月4日</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地点：上海 • 新国际博览中心W3馆</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为全方位展现不同类型屋面系统的安装工法和标准化施工技术，特创立首届中国青年屋面工（防水工）冠军赛。“屋面冠军赛”将设置“平屋面”和“坡屋面”两大赛区，预计将有18只队伍参与角逐。大赛同期，将设有建筑防水施工研讨会，专门针对防水性能创新、防渗漏治理、防水痛点等进行面对面剖析。</w:t>
      </w:r>
    </w:p>
    <w:p>
      <w:pPr>
        <w:pStyle w:val="2"/>
        <w:bidi w:val="0"/>
        <w:rPr>
          <w:rFonts w:hint="eastAsia"/>
        </w:rPr>
      </w:pPr>
      <w:r>
        <w:rPr>
          <w:rFonts w:hint="eastAsia"/>
        </w:rPr>
        <w:t>四、主办单位联系方式</w:t>
      </w:r>
    </w:p>
    <w:p>
      <w:pPr>
        <w:pStyle w:val="15"/>
        <w:spacing w:before="156"/>
        <w:ind w:firstLine="560"/>
        <w:rPr>
          <w:rFonts w:hint="eastAsia" w:ascii="仿宋" w:hAnsi="仿宋" w:eastAsia="仿宋" w:cs="仿宋"/>
          <w:sz w:val="32"/>
          <w:szCs w:val="32"/>
        </w:rPr>
      </w:pPr>
      <w:r>
        <w:rPr>
          <w:rFonts w:hint="eastAsia" w:ascii="仿宋" w:hAnsi="仿宋" w:eastAsia="仿宋" w:cs="仿宋"/>
          <w:sz w:val="32"/>
          <w:szCs w:val="32"/>
        </w:rPr>
        <w:t>FBC博览会是协会服务于会员企业的重要平台，请各会员单位积极做好2021FBC博览会的参观组织工作，组织企业相关部门负责人到场参观。同时，企业还可以申请参加各项同期活动，所有协会会员单位通过协会报名免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自愿参加</w:t>
      </w:r>
      <w:r>
        <w:rPr>
          <w:rFonts w:hint="eastAsia" w:ascii="仿宋" w:hAnsi="仿宋" w:eastAsia="仿宋" w:cs="仿宋"/>
          <w:sz w:val="32"/>
          <w:szCs w:val="32"/>
        </w:rPr>
        <w:t>。</w:t>
      </w:r>
    </w:p>
    <w:p>
      <w:pPr>
        <w:pStyle w:val="15"/>
        <w:spacing w:before="156"/>
        <w:ind w:firstLine="320" w:firstLineChars="100"/>
        <w:rPr>
          <w:rFonts w:hint="eastAsia" w:ascii="仿宋" w:hAnsi="仿宋" w:eastAsia="仿宋" w:cs="仿宋"/>
          <w:sz w:val="32"/>
          <w:szCs w:val="32"/>
        </w:rPr>
      </w:pPr>
      <w:r>
        <w:rPr>
          <w:rFonts w:hint="eastAsia" w:ascii="仿宋" w:hAnsi="仿宋" w:eastAsia="仿宋" w:cs="仿宋"/>
          <w:sz w:val="32"/>
          <w:szCs w:val="32"/>
        </w:rPr>
        <w:t>报名方式如下：</w:t>
      </w: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1. 个人报名请直接扫描下方二维码进行预登记；</w:t>
      </w:r>
    </w:p>
    <w:p>
      <w:pPr>
        <w:ind w:firstLine="480"/>
        <w:rPr>
          <w:rFonts w:hint="eastAsia" w:ascii="仿宋" w:hAnsi="仿宋" w:eastAsia="仿宋" w:cs="仿宋"/>
          <w:sz w:val="32"/>
          <w:szCs w:val="32"/>
        </w:rPr>
      </w:pPr>
    </w:p>
    <w:p>
      <w:pPr>
        <w:ind w:firstLine="480"/>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0288" behindDoc="1" locked="0" layoutInCell="1" allowOverlap="1">
            <wp:simplePos x="0" y="0"/>
            <wp:positionH relativeFrom="column">
              <wp:posOffset>464820</wp:posOffset>
            </wp:positionH>
            <wp:positionV relativeFrom="paragraph">
              <wp:posOffset>0</wp:posOffset>
            </wp:positionV>
            <wp:extent cx="1101725" cy="1097280"/>
            <wp:effectExtent l="0" t="0" r="10795" b="0"/>
            <wp:wrapTight wrapText="bothSides">
              <wp:wrapPolygon>
                <wp:start x="0" y="0"/>
                <wp:lineTo x="0" y="21300"/>
                <wp:lineTo x="21214" y="21300"/>
                <wp:lineTo x="21214" y="0"/>
                <wp:lineTo x="0" y="0"/>
              </wp:wrapPolygon>
            </wp:wrapTight>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725" cy="1097280"/>
                    </a:xfrm>
                    <a:prstGeom prst="rect">
                      <a:avLst/>
                    </a:prstGeom>
                  </pic:spPr>
                </pic:pic>
              </a:graphicData>
            </a:graphic>
          </wp:anchor>
        </w:drawing>
      </w:r>
    </w:p>
    <w:p>
      <w:pPr>
        <w:pStyle w:val="15"/>
        <w:spacing w:before="156"/>
        <w:ind w:firstLine="640" w:firstLineChars="200"/>
        <w:rPr>
          <w:rFonts w:hint="eastAsia" w:ascii="仿宋" w:hAnsi="仿宋" w:eastAsia="仿宋" w:cs="仿宋"/>
          <w:sz w:val="32"/>
          <w:szCs w:val="32"/>
        </w:rPr>
      </w:pPr>
    </w:p>
    <w:p>
      <w:pPr>
        <w:pStyle w:val="15"/>
        <w:spacing w:before="156"/>
        <w:ind w:firstLine="640" w:firstLineChars="200"/>
        <w:rPr>
          <w:rFonts w:hint="eastAsia" w:ascii="仿宋" w:hAnsi="仿宋" w:eastAsia="仿宋" w:cs="仿宋"/>
          <w:sz w:val="32"/>
          <w:szCs w:val="32"/>
        </w:rPr>
      </w:pPr>
    </w:p>
    <w:p>
      <w:pPr>
        <w:pStyle w:val="15"/>
        <w:spacing w:before="156"/>
        <w:ind w:firstLine="640" w:firstLineChars="200"/>
        <w:rPr>
          <w:rFonts w:hint="eastAsia" w:ascii="仿宋" w:hAnsi="仿宋" w:eastAsia="仿宋" w:cs="仿宋"/>
          <w:sz w:val="32"/>
          <w:szCs w:val="32"/>
        </w:rPr>
      </w:pPr>
      <w:r>
        <w:rPr>
          <w:rFonts w:hint="eastAsia" w:ascii="仿宋" w:hAnsi="仿宋" w:eastAsia="仿宋" w:cs="仿宋"/>
          <w:sz w:val="32"/>
          <w:szCs w:val="32"/>
        </w:rPr>
        <w:t>2. 团组报名请填写附件《FBC2021中国国际门窗幕墙博览会团体参观登记表》，并于2021年10月15日前发送至组委会指定邮箱。</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FBC中国国际门窗幕墙博览会组委会</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中联慕尼（北京）国际会展有限公司</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联系人：苗青芬、邹宇飞</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电话：010-84719580转866、010-84719580转818</w:t>
      </w:r>
    </w:p>
    <w:p>
      <w:pPr>
        <w:pStyle w:val="15"/>
        <w:spacing w:before="156" w:line="240" w:lineRule="auto"/>
        <w:ind w:firstLine="560"/>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"mailto:sunny.miao@mmuexpo.com" </w:instrText>
      </w:r>
      <w:r>
        <w:rPr>
          <w:rFonts w:hint="eastAsia" w:ascii="仿宋" w:hAnsi="仿宋" w:eastAsia="仿宋" w:cs="仿宋"/>
          <w:sz w:val="32"/>
          <w:szCs w:val="32"/>
        </w:rPr>
        <w:fldChar w:fldCharType="separate"/>
      </w:r>
      <w:r>
        <w:rPr>
          <w:rStyle w:val="10"/>
          <w:rFonts w:hint="eastAsia" w:ascii="仿宋" w:hAnsi="仿宋" w:eastAsia="仿宋" w:cs="仿宋"/>
          <w:color w:val="000000" w:themeColor="text1"/>
          <w:sz w:val="32"/>
          <w:szCs w:val="32"/>
          <w:u w:val="none"/>
          <w14:textFill>
            <w14:solidFill>
              <w14:schemeClr w14:val="tx1"/>
            </w14:solidFill>
          </w14:textFill>
        </w:rPr>
        <w:t>sunny.miao@mmuexpo.com</w:t>
      </w:r>
      <w:r>
        <w:rPr>
          <w:rStyle w:val="10"/>
          <w:rFonts w:hint="eastAsia" w:ascii="仿宋" w:hAnsi="仿宋" w:eastAsia="仿宋" w:cs="仿宋"/>
          <w:color w:val="000000" w:themeColor="text1"/>
          <w:sz w:val="32"/>
          <w:szCs w:val="32"/>
          <w:u w:val="none"/>
          <w14:textFill>
            <w14:solidFill>
              <w14:schemeClr w14:val="tx1"/>
            </w14:solidFill>
          </w14:textFill>
        </w:rPr>
        <w:fldChar w:fldCharType="end"/>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"mailto:brian.zou@mmuexpo.com" </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brian.zou@mmuexpo.com</w:t>
      </w:r>
      <w:r>
        <w:rPr>
          <w:rStyle w:val="10"/>
          <w:rFonts w:hint="eastAsia" w:ascii="仿宋" w:hAnsi="仿宋" w:eastAsia="仿宋" w:cs="仿宋"/>
          <w:sz w:val="32"/>
          <w:szCs w:val="32"/>
        </w:rPr>
        <w:fldChar w:fldCharType="end"/>
      </w:r>
    </w:p>
    <w:p>
      <w:pPr>
        <w:pStyle w:val="15"/>
        <w:spacing w:before="156" w:line="240" w:lineRule="auto"/>
        <w:ind w:firstLine="560"/>
        <w:rPr>
          <w:rFonts w:hint="eastAsia" w:ascii="仿宋" w:hAnsi="仿宋" w:eastAsia="仿宋" w:cs="仿宋"/>
          <w:sz w:val="32"/>
          <w:szCs w:val="32"/>
        </w:rPr>
      </w:pP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中国建筑装饰协会</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联系人：高俊</w:t>
      </w:r>
    </w:p>
    <w:p>
      <w:pPr>
        <w:pStyle w:val="15"/>
        <w:spacing w:before="156"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电话：010-88389184</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中国建筑装饰协会</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2021</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 xml:space="preserve">日 </w:t>
      </w:r>
      <w:r>
        <w:rPr>
          <w:rFonts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b/>
          <w:bCs/>
          <w:sz w:val="32"/>
          <w:szCs w:val="32"/>
        </w:rPr>
      </w:pPr>
      <w:r>
        <w:rPr>
          <w:rFonts w:ascii="仿宋" w:hAnsi="仿宋" w:eastAsia="仿宋"/>
          <w:sz w:val="32"/>
          <w:szCs w:val="32"/>
        </w:rPr>
        <w:t xml:space="preserve">  </w:t>
      </w:r>
      <w:r>
        <w:rPr>
          <w:rFonts w:hint="eastAsia" w:ascii="黑体" w:hAnsi="黑体" w:eastAsia="黑体" w:cs="黑体"/>
          <w:b/>
          <w:bCs/>
          <w:sz w:val="32"/>
          <w:szCs w:val="32"/>
        </w:rPr>
        <w:t>附件：</w:t>
      </w:r>
    </w:p>
    <w:p>
      <w:pPr>
        <w:keepNext w:val="0"/>
        <w:keepLines w:val="0"/>
        <w:pageBreakBefore w:val="0"/>
        <w:widowControl w:val="0"/>
        <w:kinsoku/>
        <w:wordWrap/>
        <w:overflowPunct/>
        <w:topLinePunct w:val="0"/>
        <w:autoSpaceDE/>
        <w:autoSpaceDN/>
        <w:bidi w:val="0"/>
        <w:adjustRightInd/>
        <w:snapToGrid w:val="0"/>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FBC2021中国国际门窗幕墙博览会团体参观登记表</w:t>
      </w:r>
    </w:p>
    <w:p>
      <w:pPr>
        <w:pStyle w:val="15"/>
        <w:spacing w:before="156"/>
        <w:jc w:val="center"/>
        <w:rPr>
          <w:rFonts w:ascii="仿宋" w:hAnsi="仿宋"/>
          <w:sz w:val="21"/>
          <w:szCs w:val="21"/>
        </w:rPr>
      </w:pPr>
      <w:r>
        <w:rPr>
          <w:rFonts w:ascii="仿宋" w:hAnsi="仿宋"/>
          <w:sz w:val="21"/>
          <w:szCs w:val="21"/>
        </w:rPr>
        <w:t>2021年11月2-5日    上海新国际博览中心（</w:t>
      </w:r>
      <w:r>
        <w:rPr>
          <w:rFonts w:hint="eastAsia" w:ascii="仿宋" w:hAnsi="仿宋"/>
          <w:sz w:val="21"/>
          <w:szCs w:val="21"/>
        </w:rPr>
        <w:t>浦东新区花木路</w:t>
      </w:r>
      <w:r>
        <w:rPr>
          <w:rFonts w:ascii="仿宋" w:hAnsi="仿宋"/>
          <w:sz w:val="21"/>
          <w:szCs w:val="21"/>
        </w:rPr>
        <w:t>2345号）</w:t>
      </w:r>
    </w:p>
    <w:tbl>
      <w:tblPr>
        <w:tblStyle w:val="8"/>
        <w:tblpPr w:leftFromText="180" w:rightFromText="180" w:vertAnchor="page" w:horzAnchor="page" w:tblpX="932" w:tblpY="3596"/>
        <w:tblW w:w="10215"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880"/>
        <w:gridCol w:w="939"/>
        <w:gridCol w:w="1239"/>
        <w:gridCol w:w="1559"/>
        <w:gridCol w:w="2043"/>
        <w:gridCol w:w="113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0215" w:type="dxa"/>
            <w:gridSpan w:val="8"/>
            <w:shd w:val="clear" w:color="auto" w:fill="FFFFFF" w:themeFill="background1"/>
          </w:tcPr>
          <w:p>
            <w:pPr>
              <w:ind w:firstLine="361"/>
              <w:jc w:val="center"/>
              <w:rPr>
                <w:b/>
                <w:bCs/>
                <w:sz w:val="18"/>
                <w:szCs w:val="18"/>
              </w:rPr>
            </w:pPr>
            <w:r>
              <w:rPr>
                <w:rFonts w:hint="eastAsia"/>
                <w:b/>
                <w:bCs/>
                <w:sz w:val="18"/>
                <w:szCs w:val="18"/>
              </w:rPr>
              <w:t>团长及团员信息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048"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序号</w:t>
            </w:r>
          </w:p>
        </w:tc>
        <w:tc>
          <w:tcPr>
            <w:tcW w:w="880"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身份</w:t>
            </w:r>
          </w:p>
        </w:tc>
        <w:tc>
          <w:tcPr>
            <w:tcW w:w="939"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姓名</w:t>
            </w:r>
            <w:r>
              <w:rPr>
                <w:rFonts w:ascii="仿宋" w:hAnsi="仿宋"/>
                <w:sz w:val="18"/>
                <w:szCs w:val="18"/>
              </w:rPr>
              <w:t>*</w:t>
            </w:r>
          </w:p>
        </w:tc>
        <w:tc>
          <w:tcPr>
            <w:tcW w:w="1239"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公司名称</w:t>
            </w:r>
            <w:r>
              <w:rPr>
                <w:rFonts w:ascii="仿宋" w:hAnsi="仿宋"/>
                <w:sz w:val="18"/>
                <w:szCs w:val="18"/>
              </w:rPr>
              <w:t>*</w:t>
            </w:r>
          </w:p>
        </w:tc>
        <w:tc>
          <w:tcPr>
            <w:tcW w:w="1559"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部门及职务</w:t>
            </w:r>
            <w:r>
              <w:rPr>
                <w:rFonts w:ascii="仿宋" w:hAnsi="仿宋"/>
                <w:sz w:val="18"/>
                <w:szCs w:val="18"/>
              </w:rPr>
              <w:t>*</w:t>
            </w:r>
          </w:p>
        </w:tc>
        <w:tc>
          <w:tcPr>
            <w:tcW w:w="2043" w:type="dxa"/>
            <w:shd w:val="clear" w:color="auto" w:fill="FFFFFF" w:themeFill="background1"/>
            <w:vAlign w:val="center"/>
          </w:tcPr>
          <w:p>
            <w:pPr>
              <w:pStyle w:val="15"/>
              <w:spacing w:before="156"/>
              <w:jc w:val="left"/>
              <w:rPr>
                <w:rFonts w:ascii="仿宋" w:hAnsi="仿宋"/>
                <w:color w:val="0000FF"/>
                <w:sz w:val="18"/>
                <w:szCs w:val="18"/>
              </w:rPr>
            </w:pPr>
            <w:r>
              <w:rPr>
                <w:rFonts w:hint="eastAsia" w:ascii="仿宋" w:hAnsi="仿宋"/>
                <w:color w:val="0000FF"/>
                <w:sz w:val="18"/>
                <w:szCs w:val="18"/>
              </w:rPr>
              <w:t>身份证号</w:t>
            </w:r>
            <w:r>
              <w:rPr>
                <w:rFonts w:ascii="仿宋" w:hAnsi="仿宋"/>
                <w:color w:val="0000FF"/>
                <w:sz w:val="18"/>
                <w:szCs w:val="18"/>
              </w:rPr>
              <w:t>*(</w:t>
            </w:r>
            <w:r>
              <w:rPr>
                <w:rFonts w:hint="eastAsia" w:ascii="仿宋" w:hAnsi="仿宋"/>
                <w:color w:val="0000FF"/>
                <w:sz w:val="18"/>
                <w:szCs w:val="18"/>
              </w:rPr>
              <w:t>务必准确</w:t>
            </w:r>
            <w:r>
              <w:rPr>
                <w:rFonts w:ascii="仿宋" w:hAnsi="仿宋"/>
                <w:color w:val="0000FF"/>
                <w:sz w:val="18"/>
                <w:szCs w:val="18"/>
              </w:rPr>
              <w:t>)</w:t>
            </w:r>
          </w:p>
        </w:tc>
        <w:tc>
          <w:tcPr>
            <w:tcW w:w="1135"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手机号</w:t>
            </w:r>
            <w:r>
              <w:rPr>
                <w:rFonts w:ascii="仿宋" w:hAnsi="仿宋"/>
                <w:sz w:val="18"/>
                <w:szCs w:val="18"/>
              </w:rPr>
              <w:t>*</w:t>
            </w:r>
          </w:p>
        </w:tc>
        <w:tc>
          <w:tcPr>
            <w:tcW w:w="1372" w:type="dxa"/>
            <w:shd w:val="clear" w:color="auto" w:fill="FFFFFF" w:themeFill="background1"/>
            <w:vAlign w:val="center"/>
          </w:tcPr>
          <w:p>
            <w:pPr>
              <w:pStyle w:val="15"/>
              <w:spacing w:before="156"/>
              <w:jc w:val="left"/>
              <w:rPr>
                <w:rFonts w:ascii="仿宋" w:hAnsi="仿宋"/>
                <w:sz w:val="18"/>
                <w:szCs w:val="18"/>
              </w:rPr>
            </w:pPr>
            <w:r>
              <w:rPr>
                <w:rFonts w:hint="eastAsia" w:ascii="仿宋" w:hAnsi="仿宋"/>
                <w:sz w:val="18"/>
                <w:szCs w:val="18"/>
              </w:rPr>
              <w:t>邮箱</w:t>
            </w:r>
            <w:r>
              <w:rPr>
                <w:rFonts w:ascii="仿宋" w:hAnsi="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048" w:type="dxa"/>
            <w:shd w:val="clear" w:color="auto" w:fill="FFFFFF" w:themeFill="background1"/>
          </w:tcPr>
          <w:p>
            <w:pPr>
              <w:ind w:firstLine="361"/>
              <w:jc w:val="center"/>
              <w:rPr>
                <w:b/>
                <w:bCs/>
                <w:sz w:val="18"/>
                <w:szCs w:val="18"/>
              </w:rPr>
            </w:pPr>
            <w:r>
              <w:rPr>
                <w:b/>
                <w:bCs/>
                <w:sz w:val="18"/>
                <w:szCs w:val="18"/>
              </w:rPr>
              <w:t>1</w:t>
            </w:r>
          </w:p>
        </w:tc>
        <w:tc>
          <w:tcPr>
            <w:tcW w:w="880" w:type="dxa"/>
            <w:shd w:val="clear" w:color="auto" w:fill="FFFFFF" w:themeFill="background1"/>
          </w:tcPr>
          <w:p>
            <w:pPr>
              <w:ind w:firstLine="0" w:firstLineChars="0"/>
              <w:rPr>
                <w:b/>
                <w:bCs/>
                <w:sz w:val="18"/>
                <w:szCs w:val="18"/>
              </w:rPr>
            </w:pPr>
            <w:r>
              <w:rPr>
                <w:rFonts w:hint="eastAsia"/>
                <w:b/>
                <w:bCs/>
                <w:color w:val="0000FF"/>
                <w:sz w:val="18"/>
                <w:szCs w:val="18"/>
              </w:rPr>
              <w:t>团长</w:t>
            </w: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048" w:type="dxa"/>
            <w:shd w:val="clear" w:color="auto" w:fill="FFFFFF" w:themeFill="background1"/>
          </w:tcPr>
          <w:p>
            <w:pPr>
              <w:ind w:firstLine="361"/>
              <w:jc w:val="center"/>
              <w:rPr>
                <w:b/>
                <w:bCs/>
                <w:sz w:val="18"/>
                <w:szCs w:val="18"/>
              </w:rPr>
            </w:pPr>
            <w:r>
              <w:rPr>
                <w:b/>
                <w:bCs/>
                <w:sz w:val="18"/>
                <w:szCs w:val="18"/>
              </w:rPr>
              <w:t>2</w:t>
            </w:r>
          </w:p>
        </w:tc>
        <w:tc>
          <w:tcPr>
            <w:tcW w:w="880" w:type="dxa"/>
            <w:shd w:val="clear" w:color="auto" w:fill="FFFFFF" w:themeFill="background1"/>
          </w:tcPr>
          <w:p>
            <w:pPr>
              <w:ind w:firstLine="0" w:firstLineChars="0"/>
              <w:rPr>
                <w:sz w:val="18"/>
                <w:szCs w:val="18"/>
              </w:rPr>
            </w:pPr>
            <w:r>
              <w:rPr>
                <w:rFonts w:hint="eastAsia"/>
                <w:sz w:val="18"/>
                <w:szCs w:val="18"/>
              </w:rPr>
              <w:t>团员</w:t>
            </w: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048" w:type="dxa"/>
            <w:shd w:val="clear" w:color="auto" w:fill="FFFFFF" w:themeFill="background1"/>
          </w:tcPr>
          <w:p>
            <w:pPr>
              <w:ind w:firstLine="361"/>
              <w:jc w:val="center"/>
              <w:rPr>
                <w:b/>
                <w:bCs/>
                <w:sz w:val="18"/>
                <w:szCs w:val="18"/>
              </w:rPr>
            </w:pPr>
            <w:r>
              <w:rPr>
                <w:b/>
                <w:bCs/>
                <w:sz w:val="18"/>
                <w:szCs w:val="18"/>
              </w:rPr>
              <w:t>3</w:t>
            </w:r>
          </w:p>
        </w:tc>
        <w:tc>
          <w:tcPr>
            <w:tcW w:w="880" w:type="dxa"/>
            <w:shd w:val="clear" w:color="auto" w:fill="FFFFFF" w:themeFill="background1"/>
          </w:tcPr>
          <w:p>
            <w:pPr>
              <w:ind w:firstLine="0" w:firstLineChars="0"/>
              <w:rPr>
                <w:sz w:val="18"/>
                <w:szCs w:val="18"/>
              </w:rPr>
            </w:pPr>
            <w:r>
              <w:rPr>
                <w:rFonts w:hint="eastAsia"/>
                <w:sz w:val="18"/>
                <w:szCs w:val="18"/>
              </w:rPr>
              <w:t>团员</w:t>
            </w: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4</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5</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6</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7</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8</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9</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10</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11</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12</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13</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14</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15</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16</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17</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18</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19</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trPr>
        <w:tc>
          <w:tcPr>
            <w:tcW w:w="1048" w:type="dxa"/>
            <w:shd w:val="clear" w:color="auto" w:fill="FFFFFF" w:themeFill="background1"/>
          </w:tcPr>
          <w:p>
            <w:pPr>
              <w:ind w:firstLine="361"/>
              <w:jc w:val="center"/>
              <w:rPr>
                <w:b/>
                <w:bCs/>
                <w:sz w:val="18"/>
                <w:szCs w:val="18"/>
              </w:rPr>
            </w:pPr>
            <w:r>
              <w:rPr>
                <w:b/>
                <w:bCs/>
                <w:sz w:val="18"/>
                <w:szCs w:val="18"/>
              </w:rPr>
              <w:t>20</w:t>
            </w:r>
          </w:p>
        </w:tc>
        <w:tc>
          <w:tcPr>
            <w:tcW w:w="880" w:type="dxa"/>
            <w:shd w:val="clear" w:color="auto" w:fill="FFFFFF" w:themeFill="background1"/>
          </w:tcPr>
          <w:p>
            <w:pPr>
              <w:ind w:firstLine="361"/>
              <w:rPr>
                <w:b/>
                <w:bCs/>
                <w:sz w:val="18"/>
                <w:szCs w:val="18"/>
              </w:rPr>
            </w:pPr>
          </w:p>
        </w:tc>
        <w:tc>
          <w:tcPr>
            <w:tcW w:w="939" w:type="dxa"/>
            <w:shd w:val="clear" w:color="auto" w:fill="FFFFFF" w:themeFill="background1"/>
          </w:tcPr>
          <w:p>
            <w:pPr>
              <w:ind w:firstLine="361"/>
              <w:rPr>
                <w:b/>
                <w:bCs/>
                <w:sz w:val="18"/>
                <w:szCs w:val="18"/>
              </w:rPr>
            </w:pPr>
          </w:p>
        </w:tc>
        <w:tc>
          <w:tcPr>
            <w:tcW w:w="1239" w:type="dxa"/>
            <w:shd w:val="clear" w:color="auto" w:fill="FFFFFF" w:themeFill="background1"/>
          </w:tcPr>
          <w:p>
            <w:pPr>
              <w:ind w:firstLine="361"/>
              <w:rPr>
                <w:b/>
                <w:bCs/>
                <w:sz w:val="18"/>
                <w:szCs w:val="18"/>
              </w:rPr>
            </w:pPr>
          </w:p>
        </w:tc>
        <w:tc>
          <w:tcPr>
            <w:tcW w:w="1559" w:type="dxa"/>
            <w:shd w:val="clear" w:color="auto" w:fill="FFFFFF" w:themeFill="background1"/>
          </w:tcPr>
          <w:p>
            <w:pPr>
              <w:ind w:firstLine="361"/>
              <w:rPr>
                <w:b/>
                <w:bCs/>
                <w:sz w:val="18"/>
                <w:szCs w:val="18"/>
              </w:rPr>
            </w:pPr>
          </w:p>
        </w:tc>
        <w:tc>
          <w:tcPr>
            <w:tcW w:w="2043" w:type="dxa"/>
            <w:shd w:val="clear" w:color="auto" w:fill="FFFFFF" w:themeFill="background1"/>
          </w:tcPr>
          <w:p>
            <w:pPr>
              <w:ind w:firstLine="361"/>
              <w:rPr>
                <w:b/>
                <w:bCs/>
                <w:sz w:val="18"/>
                <w:szCs w:val="18"/>
              </w:rPr>
            </w:pPr>
          </w:p>
        </w:tc>
        <w:tc>
          <w:tcPr>
            <w:tcW w:w="1135" w:type="dxa"/>
            <w:shd w:val="clear" w:color="auto" w:fill="FFFFFF" w:themeFill="background1"/>
          </w:tcPr>
          <w:p>
            <w:pPr>
              <w:ind w:firstLine="361"/>
              <w:rPr>
                <w:b/>
                <w:bCs/>
                <w:sz w:val="18"/>
                <w:szCs w:val="18"/>
              </w:rPr>
            </w:pPr>
          </w:p>
        </w:tc>
        <w:tc>
          <w:tcPr>
            <w:tcW w:w="1372" w:type="dxa"/>
            <w:shd w:val="clear" w:color="auto" w:fill="FFFFFF" w:themeFill="background1"/>
          </w:tcPr>
          <w:p>
            <w:pPr>
              <w:ind w:firstLine="361"/>
              <w:rPr>
                <w:b/>
                <w:bCs/>
                <w:sz w:val="18"/>
                <w:szCs w:val="18"/>
              </w:rPr>
            </w:pPr>
          </w:p>
        </w:tc>
      </w:tr>
    </w:tbl>
    <w:p>
      <w:pPr>
        <w:spacing w:line="240" w:lineRule="auto"/>
        <w:ind w:left="-420" w:leftChars="-200" w:firstLine="0" w:firstLineChars="0"/>
        <w:rPr>
          <w:rFonts w:ascii="仿宋" w:hAnsi="仿宋" w:eastAsia="仿宋"/>
          <w:sz w:val="21"/>
          <w:szCs w:val="21"/>
        </w:rPr>
      </w:pPr>
      <w:r>
        <w:rPr>
          <w:rFonts w:hint="eastAsia" w:ascii="仿宋" w:hAnsi="仿宋" w:eastAsia="仿宋"/>
          <w:sz w:val="21"/>
          <w:szCs w:val="21"/>
        </w:rPr>
        <w:t>备注：</w:t>
      </w:r>
    </w:p>
    <w:p>
      <w:pPr>
        <w:pStyle w:val="15"/>
        <w:spacing w:before="156" w:line="240" w:lineRule="auto"/>
        <w:ind w:left="-420" w:leftChars="-200" w:right="-420" w:rightChars="-200"/>
        <w:rPr>
          <w:rFonts w:ascii="仿宋" w:hAnsi="仿宋"/>
          <w:sz w:val="21"/>
          <w:szCs w:val="21"/>
        </w:rPr>
      </w:pPr>
      <w:r>
        <w:rPr>
          <w:rFonts w:ascii="仿宋" w:hAnsi="仿宋"/>
          <w:sz w:val="21"/>
          <w:szCs w:val="21"/>
        </w:rPr>
        <w:t>1.*为必填</w:t>
      </w:r>
      <w:r>
        <w:rPr>
          <w:rFonts w:hint="eastAsia" w:ascii="仿宋" w:hAnsi="仿宋"/>
          <w:sz w:val="21"/>
          <w:szCs w:val="21"/>
        </w:rPr>
        <w:t>项</w:t>
      </w:r>
      <w:r>
        <w:rPr>
          <w:rFonts w:ascii="仿宋" w:hAnsi="仿宋"/>
          <w:sz w:val="21"/>
          <w:szCs w:val="21"/>
        </w:rPr>
        <w:t>，根据疫情防控要求，请</w:t>
      </w:r>
      <w:r>
        <w:rPr>
          <w:rFonts w:hint="eastAsia" w:ascii="仿宋" w:hAnsi="仿宋"/>
          <w:sz w:val="21"/>
          <w:szCs w:val="21"/>
        </w:rPr>
        <w:t>务必准确填写个人真实身份信息，</w:t>
      </w:r>
      <w:r>
        <w:rPr>
          <w:rFonts w:ascii="仿宋" w:hAnsi="仿宋"/>
          <w:sz w:val="21"/>
          <w:szCs w:val="21"/>
        </w:rPr>
        <w:t>避免因错误信息导致无法入场。</w:t>
      </w:r>
    </w:p>
    <w:p>
      <w:pPr>
        <w:pStyle w:val="15"/>
        <w:spacing w:before="156" w:line="240" w:lineRule="auto"/>
        <w:ind w:left="-420" w:leftChars="-200" w:right="-420" w:rightChars="-200"/>
        <w:rPr>
          <w:rFonts w:ascii="仿宋" w:hAnsi="仿宋"/>
          <w:sz w:val="21"/>
          <w:szCs w:val="21"/>
        </w:rPr>
      </w:pPr>
      <w:r>
        <w:rPr>
          <w:rFonts w:hint="eastAsia" w:ascii="仿宋" w:hAnsi="仿宋"/>
          <w:sz w:val="21"/>
          <w:szCs w:val="21"/>
        </w:rPr>
        <w:t>2</w:t>
      </w:r>
      <w:r>
        <w:rPr>
          <w:rFonts w:ascii="仿宋" w:hAnsi="仿宋"/>
          <w:sz w:val="21"/>
          <w:szCs w:val="21"/>
        </w:rPr>
        <w:t xml:space="preserve">. </w:t>
      </w:r>
      <w:r>
        <w:rPr>
          <w:rFonts w:hint="eastAsia" w:ascii="仿宋" w:hAnsi="仿宋"/>
          <w:sz w:val="21"/>
          <w:szCs w:val="21"/>
        </w:rPr>
        <w:t>团体登记尊享：免</w:t>
      </w:r>
      <w:r>
        <w:rPr>
          <w:rFonts w:ascii="仿宋" w:hAnsi="仿宋"/>
          <w:sz w:val="21"/>
          <w:szCs w:val="21"/>
        </w:rPr>
        <w:t>现场199</w:t>
      </w:r>
      <w:r>
        <w:rPr>
          <w:rFonts w:hint="eastAsia" w:ascii="仿宋" w:hAnsi="仿宋"/>
          <w:sz w:val="21"/>
          <w:szCs w:val="21"/>
        </w:rPr>
        <w:t>元</w:t>
      </w:r>
      <w:r>
        <w:rPr>
          <w:rFonts w:ascii="仿宋" w:hAnsi="仿宋"/>
          <w:sz w:val="21"/>
          <w:szCs w:val="21"/>
        </w:rPr>
        <w:t>付费门票，快速入场</w:t>
      </w:r>
      <w:r>
        <w:rPr>
          <w:rFonts w:hint="eastAsia" w:ascii="仿宋" w:hAnsi="仿宋"/>
          <w:sz w:val="21"/>
          <w:szCs w:val="21"/>
        </w:rPr>
        <w:t>；</w:t>
      </w:r>
      <w:r>
        <w:rPr>
          <w:rFonts w:ascii="仿宋" w:hAnsi="仿宋"/>
          <w:sz w:val="21"/>
          <w:szCs w:val="21"/>
        </w:rPr>
        <w:t>专人服务提前沟通，定制参观路线，与展商一对一深度洽谈</w:t>
      </w:r>
      <w:r>
        <w:rPr>
          <w:rFonts w:hint="eastAsia" w:ascii="仿宋" w:hAnsi="仿宋"/>
          <w:sz w:val="21"/>
          <w:szCs w:val="21"/>
        </w:rPr>
        <w:t>；</w:t>
      </w:r>
      <w:r>
        <w:rPr>
          <w:rFonts w:ascii="仿宋" w:hAnsi="仿宋"/>
          <w:sz w:val="21"/>
          <w:szCs w:val="21"/>
        </w:rPr>
        <w:t>组团到场30人以上，主办方免费提供上海本地专车接送及专属横幅拍照留念。</w:t>
      </w:r>
    </w:p>
    <w:p>
      <w:pPr>
        <w:pStyle w:val="15"/>
        <w:spacing w:before="156" w:line="240" w:lineRule="auto"/>
        <w:ind w:left="-420" w:leftChars="-200" w:right="-420" w:rightChars="-200"/>
        <w:rPr>
          <w:rFonts w:ascii="仿宋" w:hAnsi="仿宋"/>
          <w:sz w:val="21"/>
          <w:szCs w:val="21"/>
        </w:rPr>
      </w:pPr>
      <w:r>
        <w:rPr>
          <w:rFonts w:ascii="仿宋" w:hAnsi="仿宋"/>
          <w:sz w:val="21"/>
          <w:szCs w:val="21"/>
        </w:rPr>
        <w:t>3. 提交</w:t>
      </w:r>
      <w:r>
        <w:rPr>
          <w:rFonts w:hint="eastAsia" w:ascii="仿宋" w:hAnsi="仿宋"/>
          <w:sz w:val="21"/>
          <w:szCs w:val="21"/>
        </w:rPr>
        <w:t>登记</w:t>
      </w:r>
      <w:r>
        <w:rPr>
          <w:rFonts w:ascii="仿宋" w:hAnsi="仿宋"/>
          <w:sz w:val="21"/>
          <w:szCs w:val="21"/>
        </w:rPr>
        <w:t>表或有任何疑问，请联系：</w:t>
      </w:r>
      <w:r>
        <w:rPr>
          <w:rFonts w:ascii="仿宋" w:hAnsi="仿宋"/>
          <w:sz w:val="21"/>
          <w:szCs w:val="21"/>
          <w:u w:val="single"/>
        </w:rPr>
        <w:t>brian.zou@mmuexpo.com</w:t>
      </w:r>
      <w:r>
        <w:rPr>
          <w:rFonts w:ascii="仿宋" w:hAnsi="仿宋"/>
          <w:sz w:val="21"/>
          <w:szCs w:val="21"/>
        </w:rPr>
        <w:t>/</w:t>
      </w:r>
      <w:r>
        <w:t xml:space="preserve"> </w:t>
      </w:r>
      <w:r>
        <w:fldChar w:fldCharType="begin"/>
      </w:r>
      <w:r>
        <w:instrText xml:space="preserve"> HYPERLINK "mailto:sunny.miao@mmuexpo.com" </w:instrText>
      </w:r>
      <w:r>
        <w:fldChar w:fldCharType="separate"/>
      </w:r>
      <w:r>
        <w:rPr>
          <w:rStyle w:val="10"/>
          <w:rFonts w:ascii="仿宋" w:hAnsi="仿宋"/>
          <w:sz w:val="21"/>
          <w:szCs w:val="21"/>
        </w:rPr>
        <w:t>sunny.miao@mmuexpo.com</w:t>
      </w:r>
      <w:r>
        <w:rPr>
          <w:rStyle w:val="10"/>
          <w:rFonts w:ascii="仿宋" w:hAnsi="仿宋"/>
          <w:sz w:val="21"/>
          <w:szCs w:val="21"/>
        </w:rPr>
        <w:fldChar w:fldCharType="end"/>
      </w:r>
      <w:r>
        <w:rPr>
          <w:rFonts w:ascii="仿宋" w:hAnsi="仿宋"/>
          <w:sz w:val="21"/>
          <w:szCs w:val="21"/>
        </w:rPr>
        <w:t xml:space="preserve">, </w:t>
      </w:r>
    </w:p>
    <w:p>
      <w:pPr>
        <w:pStyle w:val="15"/>
        <w:spacing w:before="156" w:line="240" w:lineRule="auto"/>
        <w:ind w:left="-420" w:leftChars="-200" w:right="-420" w:rightChars="-200"/>
        <w:rPr>
          <w:rFonts w:ascii="仿宋" w:hAnsi="仿宋"/>
          <w:sz w:val="21"/>
          <w:szCs w:val="21"/>
        </w:rPr>
      </w:pPr>
      <w:r>
        <w:rPr>
          <w:rFonts w:ascii="仿宋" w:hAnsi="仿宋"/>
          <w:sz w:val="21"/>
          <w:szCs w:val="21"/>
        </w:rPr>
        <w:t>15910854287/13811635466.</w:t>
      </w:r>
    </w:p>
    <w:p>
      <w:pPr>
        <w:rPr>
          <w:rFonts w:hint="eastAsia" w:ascii="仿宋" w:hAnsi="仿宋" w:eastAsia="仿宋"/>
          <w:sz w:val="32"/>
          <w:szCs w:val="32"/>
        </w:rPr>
      </w:pPr>
      <w:r>
        <w:rPr>
          <w:rFonts w:ascii="仿宋" w:hAnsi="仿宋" w:eastAsia="仿宋"/>
          <w:sz w:val="32"/>
          <w:szCs w:val="32"/>
        </w:rPr>
        <w:t xml:space="preserve">   </w:t>
      </w:r>
    </w:p>
    <w:sectPr>
      <w:pgSz w:w="11906" w:h="16838"/>
      <w:pgMar w:top="1440" w:right="1247" w:bottom="1440"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 w:hAnsi="仿宋"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仿宋" w:hAnsi="仿宋" w:eastAsia="仿宋"/>
                              <w:sz w:val="28"/>
                              <w:szCs w:val="28"/>
                            </w:rPr>
                            <w:id w:val="1714054"/>
                            <w:docPartObj>
                              <w:docPartGallery w:val="autotext"/>
                            </w:docPartObj>
                          </w:sdtPr>
                          <w:sdtEndPr>
                            <w:rPr>
                              <w:rFonts w:ascii="仿宋" w:hAnsi="仿宋" w:eastAsia="仿宋"/>
                              <w:sz w:val="28"/>
                              <w:szCs w:val="28"/>
                            </w:rPr>
                          </w:sdtEndPr>
                          <w:sdtContent>
                            <w:p>
                              <w:pPr>
                                <w:pStyle w:val="5"/>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rPr>
                              <w:rFonts w:ascii="仿宋" w:hAnsi="仿宋" w:eastAsia="仿宋"/>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rPr>
                        <w:rFonts w:ascii="仿宋" w:hAnsi="仿宋" w:eastAsia="仿宋"/>
                        <w:sz w:val="28"/>
                        <w:szCs w:val="28"/>
                      </w:rPr>
                      <w:id w:val="1714054"/>
                      <w:docPartObj>
                        <w:docPartGallery w:val="autotext"/>
                      </w:docPartObj>
                    </w:sdtPr>
                    <w:sdtEndPr>
                      <w:rPr>
                        <w:rFonts w:ascii="仿宋" w:hAnsi="仿宋" w:eastAsia="仿宋"/>
                        <w:sz w:val="28"/>
                        <w:szCs w:val="28"/>
                      </w:rPr>
                    </w:sdtEndPr>
                    <w:sdtContent>
                      <w:p>
                        <w:pPr>
                          <w:pStyle w:val="5"/>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pPr>
                      <w:rPr>
                        <w:rFonts w:ascii="仿宋" w:hAnsi="仿宋" w:eastAsia="仿宋"/>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6A"/>
    <w:rsid w:val="003F74A9"/>
    <w:rsid w:val="00595D2B"/>
    <w:rsid w:val="00665129"/>
    <w:rsid w:val="0070162E"/>
    <w:rsid w:val="008D406A"/>
    <w:rsid w:val="00EF091A"/>
    <w:rsid w:val="00FA75DB"/>
    <w:rsid w:val="06716BCB"/>
    <w:rsid w:val="07132D00"/>
    <w:rsid w:val="13F803A4"/>
    <w:rsid w:val="1ECD7E3E"/>
    <w:rsid w:val="22AD165B"/>
    <w:rsid w:val="320C6D6C"/>
    <w:rsid w:val="36BB6D8E"/>
    <w:rsid w:val="3B391E33"/>
    <w:rsid w:val="4F982A69"/>
    <w:rsid w:val="56CD700D"/>
    <w:rsid w:val="5ABA4CFF"/>
    <w:rsid w:val="5C767855"/>
    <w:rsid w:val="631F6F56"/>
    <w:rsid w:val="735E6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ind w:firstLine="600" w:firstLineChars="200"/>
      <w:outlineLvl w:val="0"/>
    </w:pPr>
    <w:rPr>
      <w:rFonts w:eastAsia="仿宋" w:asciiTheme="minorAscii" w:hAnsiTheme="minorAscii"/>
      <w:bCs/>
      <w:kern w:val="44"/>
      <w:sz w:val="32"/>
      <w:szCs w:val="44"/>
    </w:rPr>
  </w:style>
  <w:style w:type="paragraph" w:styleId="3">
    <w:name w:val="heading 2"/>
    <w:basedOn w:val="1"/>
    <w:next w:val="1"/>
    <w:unhideWhenUsed/>
    <w:qFormat/>
    <w:uiPriority w:val="9"/>
    <w:pPr>
      <w:keepNext/>
      <w:keepLines/>
      <w:ind w:firstLine="600" w:firstLineChars="200"/>
      <w:outlineLvl w:val="1"/>
    </w:pPr>
    <w:rPr>
      <w:rFonts w:eastAsia="仿宋" w:asciiTheme="majorAscii" w:hAnsiTheme="majorAscii" w:cstheme="majorBidi"/>
      <w:bCs/>
      <w:sz w:val="32"/>
      <w:szCs w:val="32"/>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批注框文本 字符"/>
    <w:basedOn w:val="9"/>
    <w:link w:val="4"/>
    <w:semiHidden/>
    <w:uiPriority w:val="99"/>
    <w:rPr>
      <w:sz w:val="18"/>
      <w:szCs w:val="18"/>
    </w:rPr>
  </w:style>
  <w:style w:type="character" w:customStyle="1" w:styleId="13">
    <w:name w:val="页眉 字符"/>
    <w:basedOn w:val="9"/>
    <w:link w:val="6"/>
    <w:uiPriority w:val="99"/>
    <w:rPr>
      <w:sz w:val="18"/>
      <w:szCs w:val="18"/>
    </w:rPr>
  </w:style>
  <w:style w:type="character" w:customStyle="1" w:styleId="14">
    <w:name w:val="页脚 字符"/>
    <w:basedOn w:val="9"/>
    <w:link w:val="5"/>
    <w:uiPriority w:val="99"/>
    <w:rPr>
      <w:sz w:val="18"/>
      <w:szCs w:val="18"/>
    </w:rPr>
  </w:style>
  <w:style w:type="paragraph" w:styleId="15">
    <w:name w:val="No Spacing"/>
    <w:next w:val="1"/>
    <w:qFormat/>
    <w:uiPriority w:val="1"/>
    <w:pPr>
      <w:widowControl w:val="0"/>
      <w:adjustRightInd w:val="0"/>
      <w:snapToGrid w:val="0"/>
      <w:spacing w:before="50" w:beforeLines="50" w:line="360" w:lineRule="auto"/>
      <w:jc w:val="both"/>
    </w:pPr>
    <w:rPr>
      <w:rFonts w:eastAsia="仿宋" w:asciiTheme="minorHAnsi" w:hAnsiTheme="minorHAnsi" w:cstheme="minorBidi"/>
      <w:color w:val="000000" w:themeColor="text1"/>
      <w:kern w:val="2"/>
      <w:sz w:val="28"/>
      <w:szCs w:val="22"/>
      <w:lang w:val="en-US" w:eastAsia="zh-CN" w:bidi="ar-SA"/>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874B5-FDA2-4342-8D3D-D3E086B8BA5D}">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333</Characters>
  <Lines>2</Lines>
  <Paragraphs>1</Paragraphs>
  <TotalTime>4</TotalTime>
  <ScaleCrop>false</ScaleCrop>
  <LinksUpToDate>false</LinksUpToDate>
  <CharactersWithSpaces>390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2021-08-16T01:17:00Z</dcterms:created>
  <dc:creator>jun gao</dc:creator>
  <cp:lastModifiedBy>lenovo</cp:lastModifiedBy>
  <cp:lastPrinted>2021-09-23T08:32:20Z</cp:lastPrinted>
  <dcterms:modified xsi:type="dcterms:W3CDTF">2021-09-23T08:33:31Z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4885B779A4D34F54B436625A97874F73</vt:lpwstr>
  </property>
</Properties>
</file>