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78" w:rsidRPr="00421744" w:rsidRDefault="00AF4278" w:rsidP="00AF4278">
      <w:pPr>
        <w:snapToGrid w:val="0"/>
        <w:spacing w:line="288" w:lineRule="auto"/>
        <w:rPr>
          <w:rFonts w:ascii="宋体" w:hAnsi="宋体"/>
          <w:bCs/>
          <w:sz w:val="24"/>
        </w:rPr>
      </w:pPr>
      <w:r w:rsidRPr="00421744">
        <w:rPr>
          <w:rFonts w:ascii="宋体" w:hAnsi="宋体" w:hint="eastAsia"/>
          <w:bCs/>
          <w:sz w:val="24"/>
        </w:rPr>
        <w:t xml:space="preserve">附件1： </w:t>
      </w:r>
    </w:p>
    <w:p w:rsidR="00AF4278" w:rsidRDefault="00AF4278" w:rsidP="00AF4278">
      <w:pPr>
        <w:snapToGrid w:val="0"/>
        <w:spacing w:line="288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    </w:t>
      </w:r>
    </w:p>
    <w:p w:rsidR="00AF4278" w:rsidRDefault="00AF4278" w:rsidP="00AF4278">
      <w:pPr>
        <w:snapToGrid w:val="0"/>
        <w:spacing w:line="288" w:lineRule="auto"/>
        <w:ind w:rightChars="-27" w:right="-57"/>
        <w:jc w:val="center"/>
        <w:rPr>
          <w:rFonts w:eastAsia="黑体"/>
          <w:b/>
          <w:sz w:val="32"/>
          <w:szCs w:val="36"/>
        </w:rPr>
      </w:pPr>
      <w:bookmarkStart w:id="0" w:name="_GoBack"/>
      <w:r>
        <w:rPr>
          <w:rFonts w:eastAsia="黑体" w:hint="eastAsia"/>
          <w:bCs/>
          <w:sz w:val="32"/>
          <w:szCs w:val="36"/>
        </w:rPr>
        <w:t>2015</w:t>
      </w:r>
      <w:r>
        <w:rPr>
          <w:rFonts w:eastAsia="黑体"/>
          <w:bCs/>
          <w:sz w:val="32"/>
          <w:szCs w:val="36"/>
        </w:rPr>
        <w:t>年度中国建筑幕墙行业</w:t>
      </w:r>
      <w:r w:rsidRPr="00421744">
        <w:rPr>
          <w:rFonts w:ascii="黑体" w:eastAsia="黑体" w:hint="eastAsia"/>
          <w:sz w:val="32"/>
          <w:szCs w:val="32"/>
        </w:rPr>
        <w:t>百</w:t>
      </w:r>
      <w:r>
        <w:rPr>
          <w:rFonts w:eastAsia="黑体"/>
          <w:bCs/>
          <w:sz w:val="32"/>
          <w:szCs w:val="36"/>
        </w:rPr>
        <w:t>强企业评价推介活动方案</w:t>
      </w:r>
      <w:bookmarkEnd w:id="0"/>
    </w:p>
    <w:p w:rsidR="00AF4278" w:rsidRDefault="00AF4278" w:rsidP="00CE5964">
      <w:pPr>
        <w:pStyle w:val="a4"/>
        <w:spacing w:beforeLines="50" w:beforeAutospacing="0" w:afterLines="50" w:afterAutospacing="0"/>
        <w:rPr>
          <w:rStyle w:val="a5"/>
        </w:rPr>
      </w:pP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196" w:firstLine="472"/>
      </w:pPr>
      <w:r>
        <w:rPr>
          <w:rStyle w:val="a5"/>
        </w:rPr>
        <w:t>一、总 则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1．</w:t>
      </w:r>
      <w:r>
        <w:rPr>
          <w:rFonts w:hint="eastAsia"/>
        </w:rPr>
        <w:t xml:space="preserve">1  </w:t>
      </w:r>
      <w:r>
        <w:t>本活动由</w:t>
      </w:r>
      <w:r>
        <w:rPr>
          <w:rFonts w:hint="eastAsia"/>
        </w:rPr>
        <w:t>中国建筑装饰协会主办</w:t>
      </w:r>
      <w:r>
        <w:t>，</w:t>
      </w:r>
      <w:r>
        <w:rPr>
          <w:rFonts w:hint="eastAsia"/>
        </w:rPr>
        <w:t>幕墙工程委员会负责组织实施。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>1．2</w:t>
      </w:r>
      <w:r>
        <w:rPr>
          <w:rFonts w:hint="eastAsia"/>
        </w:rPr>
        <w:t xml:space="preserve"> </w:t>
      </w:r>
      <w:r>
        <w:t xml:space="preserve"> 本活动根据企业自愿参加的原则组织开展。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>1．3</w:t>
      </w:r>
      <w:r>
        <w:rPr>
          <w:rFonts w:hint="eastAsia"/>
        </w:rPr>
        <w:t xml:space="preserve"> </w:t>
      </w:r>
      <w:r>
        <w:t xml:space="preserve"> 参加本活动的企业应对所提供材料的真实性、准确性承担责任。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>1．4</w:t>
      </w:r>
      <w:r>
        <w:rPr>
          <w:rFonts w:hint="eastAsia"/>
        </w:rPr>
        <w:t xml:space="preserve">  2015年度界定区间为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hint="eastAsia"/>
          </w:rPr>
          <w:t>2015年1月1日</w:t>
        </w:r>
      </w:smartTag>
      <w:r>
        <w:rPr>
          <w:rFonts w:hint="eastAsia"/>
        </w:rPr>
        <w:t>至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hint="eastAsia"/>
          </w:rPr>
          <w:t>2015年12月31日</w:t>
        </w:r>
      </w:smartTag>
      <w:r>
        <w:rPr>
          <w:rFonts w:hint="eastAsia"/>
        </w:rPr>
        <w:t>。审计报告、财务报表按自然年度。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 xml:space="preserve"> 1．</w:t>
      </w:r>
      <w:r>
        <w:rPr>
          <w:rFonts w:hint="eastAsia"/>
        </w:rPr>
        <w:t>5  公示期间如收到涉及相关企业的投诉、质疑，主办单位有权要求相关企业补充证明材料或现场核实，相关企业应予以积极合作。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196" w:firstLine="472"/>
        <w:jc w:val="both"/>
      </w:pPr>
      <w:r>
        <w:rPr>
          <w:rStyle w:val="a5"/>
        </w:rPr>
        <w:t>二、参评企业基本条件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2．1</w:t>
      </w:r>
      <w:r>
        <w:rPr>
          <w:rFonts w:hint="eastAsia"/>
        </w:rPr>
        <w:t xml:space="preserve"> </w:t>
      </w:r>
      <w:r>
        <w:t xml:space="preserve"> 在中国工商部门注册并年检合格，企业资质主项为建筑幕墙工程的专业承包企业、资质增项包含上述资质的建筑装饰装修</w:t>
      </w:r>
      <w:r>
        <w:rPr>
          <w:rFonts w:hint="eastAsia"/>
        </w:rPr>
        <w:t>和其他</w:t>
      </w:r>
      <w:r>
        <w:t>工程专业承包企业。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2．</w:t>
      </w:r>
      <w:r>
        <w:rPr>
          <w:rFonts w:hint="eastAsia"/>
        </w:rPr>
        <w:t xml:space="preserve">2 </w:t>
      </w:r>
      <w:r>
        <w:t xml:space="preserve"> </w:t>
      </w:r>
      <w:r>
        <w:rPr>
          <w:rFonts w:hint="eastAsia"/>
        </w:rPr>
        <w:t>须是中国建筑装饰协会会员。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2．</w:t>
      </w:r>
      <w:r>
        <w:rPr>
          <w:rFonts w:hint="eastAsia"/>
        </w:rPr>
        <w:t>3  须是通过全国建筑装饰行业信用评价认证的企业。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2．</w:t>
      </w:r>
      <w:r>
        <w:rPr>
          <w:rFonts w:hint="eastAsia"/>
        </w:rPr>
        <w:t>4   2015年度不得有重大质量、安全事故被建设部通报或处罚的记录。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196" w:firstLine="472"/>
        <w:jc w:val="both"/>
      </w:pPr>
      <w:r>
        <w:rPr>
          <w:rStyle w:val="a5"/>
        </w:rPr>
        <w:t>三、评价指标及计算方法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3．1</w:t>
      </w:r>
      <w:r>
        <w:rPr>
          <w:rFonts w:hint="eastAsia"/>
        </w:rPr>
        <w:t xml:space="preserve">  </w:t>
      </w:r>
      <w:r>
        <w:t xml:space="preserve">评价指标（精确到元）： </w:t>
      </w:r>
    </w:p>
    <w:tbl>
      <w:tblPr>
        <w:tblW w:w="0" w:type="auto"/>
        <w:tblInd w:w="468" w:type="dxa"/>
        <w:tblLayout w:type="fixed"/>
        <w:tblLook w:val="0000"/>
      </w:tblPr>
      <w:tblGrid>
        <w:gridCol w:w="1080"/>
        <w:gridCol w:w="1980"/>
        <w:gridCol w:w="3420"/>
        <w:gridCol w:w="1800"/>
      </w:tblGrid>
      <w:tr w:rsidR="00AF4278" w:rsidTr="00403CB2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  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基准分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规模性指标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企业资产总额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工程结算收入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盈利性指标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利润总额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净资产收益率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成长性指标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工程结算收入同比增长率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利润总额同比增长率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社会责任指标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纳税总额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职工工资福利总额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抗风险指标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流动比率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F4278" w:rsidTr="00403CB2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总资产负债率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8" w:rsidRDefault="00AF4278" w:rsidP="00403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</w:tbl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Chars="200" w:firstLine="480"/>
        <w:jc w:val="both"/>
      </w:pPr>
      <w:r>
        <w:t>3．</w:t>
      </w:r>
      <w:r>
        <w:rPr>
          <w:rFonts w:hint="eastAsia"/>
        </w:rPr>
        <w:t xml:space="preserve">2  </w:t>
      </w:r>
      <w:r>
        <w:t>加</w:t>
      </w:r>
      <w:r>
        <w:rPr>
          <w:rFonts w:hint="eastAsia"/>
        </w:rPr>
        <w:t>减</w:t>
      </w:r>
      <w:r>
        <w:t>分</w:t>
      </w:r>
      <w:r>
        <w:rPr>
          <w:rFonts w:hint="eastAsia"/>
        </w:rPr>
        <w:t>项：</w:t>
      </w:r>
    </w:p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="465"/>
        <w:jc w:val="both"/>
      </w:pPr>
      <w:r>
        <w:t>3．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1  2015年度获中</w:t>
      </w:r>
      <w:r>
        <w:t>国建筑工程装饰奖</w:t>
      </w:r>
      <w:r>
        <w:rPr>
          <w:rFonts w:hint="eastAsia"/>
        </w:rPr>
        <w:t>（建筑幕墙类）、</w:t>
      </w:r>
      <w:r>
        <w:t>鲁班奖</w:t>
      </w:r>
      <w:r>
        <w:rPr>
          <w:rFonts w:hint="eastAsia"/>
        </w:rPr>
        <w:t>，</w:t>
      </w:r>
      <w:r>
        <w:t>每一奖项加</w:t>
      </w:r>
      <w:r>
        <w:rPr>
          <w:rFonts w:hint="eastAsia"/>
        </w:rPr>
        <w:t>3</w:t>
      </w:r>
      <w:r>
        <w:t>分；获省、自治区、直辖市及副省级城市（哈尔滨、长春、沈阳、大连、济南、青岛、南京、杭州、宁波、武汉、广州、深圳、厦门、成都、西安）建设行政主管部门或建筑装饰协会颁发的工程奖，每一奖项加1分。同一工程获多项奖的取最高级别计分。</w:t>
      </w:r>
    </w:p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="465"/>
        <w:jc w:val="both"/>
      </w:pPr>
      <w:r>
        <w:t>3．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2  国家级高新技术企业称号的企业加3分；省级高新技术企业称号的加1分。</w:t>
      </w:r>
    </w:p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="465"/>
        <w:jc w:val="both"/>
      </w:pPr>
      <w:r>
        <w:rPr>
          <w:rFonts w:hint="eastAsia"/>
        </w:rPr>
        <w:t>3．2．3  有国家级工程中心的加3分；有省级工程中心的加1分。</w:t>
      </w:r>
    </w:p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Chars="200" w:firstLine="480"/>
        <w:jc w:val="both"/>
      </w:pPr>
      <w:r>
        <w:t>3．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4  2015年度签订单项合同额超过一亿元（含一亿元）的幕墙工程，每项加3分；201</w:t>
      </w:r>
      <w:r w:rsidR="00CE5964">
        <w:rPr>
          <w:rFonts w:hint="eastAsia"/>
        </w:rPr>
        <w:t>5</w:t>
      </w:r>
      <w:r>
        <w:rPr>
          <w:rFonts w:hint="eastAsia"/>
        </w:rPr>
        <w:t>年度竣工高度超过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150米</w:t>
        </w:r>
      </w:smartTag>
      <w:r>
        <w:rPr>
          <w:rFonts w:hint="eastAsia"/>
        </w:rPr>
        <w:t>（含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150米</w:t>
        </w:r>
      </w:smartTag>
      <w:r>
        <w:rPr>
          <w:rFonts w:hint="eastAsia"/>
        </w:rPr>
        <w:t>）的幕墙工程项目，每项加3分。单项合同额超过一亿元（含一亿元）同时高度超过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150米</w:t>
        </w:r>
      </w:smartTag>
      <w:r>
        <w:rPr>
          <w:rFonts w:hint="eastAsia"/>
        </w:rPr>
        <w:t>（含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150米</w:t>
        </w:r>
      </w:smartTag>
      <w:r>
        <w:rPr>
          <w:rFonts w:hint="eastAsia"/>
        </w:rPr>
        <w:t>）的幕墙工程，只按其中一项加分。</w:t>
      </w:r>
    </w:p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Chars="200" w:firstLine="480"/>
        <w:jc w:val="both"/>
      </w:pPr>
      <w:r>
        <w:t>3．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5  2015</w:t>
      </w:r>
      <w:r>
        <w:t>年度获专利项，每项发明专利加</w:t>
      </w:r>
      <w:r>
        <w:rPr>
          <w:rFonts w:hint="eastAsia"/>
        </w:rPr>
        <w:t>0.5</w:t>
      </w:r>
      <w:r>
        <w:t>分</w:t>
      </w:r>
      <w:r>
        <w:rPr>
          <w:rFonts w:hint="eastAsia"/>
        </w:rPr>
        <w:t>。</w:t>
      </w:r>
    </w:p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Chars="200" w:firstLine="480"/>
        <w:jc w:val="both"/>
      </w:pPr>
      <w:r>
        <w:t>3．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6  2015</w:t>
      </w:r>
      <w:r>
        <w:t>年度获</w:t>
      </w:r>
      <w:r>
        <w:rPr>
          <w:rFonts w:hint="eastAsia"/>
        </w:rPr>
        <w:t>批标准项</w:t>
      </w:r>
      <w:r>
        <w:t>，每项</w:t>
      </w:r>
      <w:r>
        <w:rPr>
          <w:rFonts w:hint="eastAsia"/>
        </w:rPr>
        <w:t>国标</w:t>
      </w:r>
      <w:r>
        <w:t>加</w:t>
      </w:r>
      <w:r>
        <w:rPr>
          <w:rFonts w:hint="eastAsia"/>
        </w:rPr>
        <w:t>3</w:t>
      </w:r>
      <w:r>
        <w:t>分</w:t>
      </w:r>
      <w:r>
        <w:rPr>
          <w:rFonts w:hint="eastAsia"/>
        </w:rPr>
        <w:t>；</w:t>
      </w:r>
      <w:r>
        <w:t>每项</w:t>
      </w:r>
      <w:r>
        <w:rPr>
          <w:rFonts w:hint="eastAsia"/>
        </w:rPr>
        <w:t>地标、行标、团标</w:t>
      </w:r>
      <w:r>
        <w:t>加</w:t>
      </w:r>
      <w:r>
        <w:rPr>
          <w:rFonts w:hint="eastAsia"/>
        </w:rPr>
        <w:t>2</w:t>
      </w:r>
      <w:r>
        <w:t>分。</w:t>
      </w:r>
    </w:p>
    <w:p w:rsidR="00AF4278" w:rsidRDefault="00AF4278" w:rsidP="00CE5964">
      <w:pPr>
        <w:pStyle w:val="a4"/>
        <w:spacing w:beforeLines="50" w:beforeAutospacing="0" w:afterLines="50" w:afterAutospacing="0" w:line="360" w:lineRule="auto"/>
        <w:ind w:firstLineChars="200" w:firstLine="480"/>
        <w:jc w:val="both"/>
      </w:pPr>
      <w:r>
        <w:t>3．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7  一级注册建造师每个均</w:t>
      </w:r>
      <w:r>
        <w:t>加</w:t>
      </w:r>
      <w:r>
        <w:rPr>
          <w:rFonts w:hint="eastAsia"/>
        </w:rPr>
        <w:t>0.3</w:t>
      </w:r>
      <w:r>
        <w:t>分</w:t>
      </w:r>
      <w:r>
        <w:rPr>
          <w:rFonts w:hint="eastAsia"/>
        </w:rPr>
        <w:t>，优秀幕墙项目经理加0.2分</w:t>
      </w:r>
      <w:r>
        <w:t>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3．</w:t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8  2015年度经中国建筑装饰协会幕墙工程委员会推荐幕墙行业优秀企业加2分。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3．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 xml:space="preserve"> </w:t>
      </w:r>
      <w:r>
        <w:t>计算方法：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首先分别计算出全部参评企业</w:t>
      </w:r>
      <w:r>
        <w:rPr>
          <w:rFonts w:hint="eastAsia"/>
        </w:rPr>
        <w:t>各项经济项指标每</w:t>
      </w:r>
      <w:r>
        <w:t>项指标的平均值，然后将每家企业的</w:t>
      </w:r>
      <w:r>
        <w:rPr>
          <w:rFonts w:hint="eastAsia"/>
        </w:rPr>
        <w:t>各项经济</w:t>
      </w:r>
      <w:r>
        <w:t>项指标分别除以相应的平均值，得出分值系数，再乘以基准分，得出实际得分。再根据加减分，得出该企业的总分，按总分排序</w:t>
      </w:r>
      <w:r>
        <w:rPr>
          <w:rFonts w:hint="eastAsia"/>
        </w:rPr>
        <w:t>, 前100名入选</w:t>
      </w:r>
      <w:r>
        <w:t>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196" w:firstLine="472"/>
        <w:jc w:val="both"/>
      </w:pPr>
      <w:r>
        <w:rPr>
          <w:rStyle w:val="a5"/>
        </w:rPr>
        <w:lastRenderedPageBreak/>
        <w:t>四、评价程序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4．</w:t>
      </w:r>
      <w:r>
        <w:rPr>
          <w:rFonts w:hint="eastAsia"/>
        </w:rPr>
        <w:t xml:space="preserve">1 </w:t>
      </w:r>
      <w:r>
        <w:t xml:space="preserve"> 受理、初审：对申报材料不符合要求之处，各地方建筑装饰协会（幕墙委员</w:t>
      </w:r>
      <w:r>
        <w:rPr>
          <w:rFonts w:hint="eastAsia"/>
        </w:rPr>
        <w:t>会</w:t>
      </w:r>
      <w:r>
        <w:t>）应要求申报企业在规定的时间内进行纠正、补充、完善。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4．</w:t>
      </w:r>
      <w:r>
        <w:rPr>
          <w:rFonts w:hint="eastAsia"/>
        </w:rPr>
        <w:t xml:space="preserve">2 </w:t>
      </w:r>
      <w:r>
        <w:t xml:space="preserve"> 上报：</w:t>
      </w:r>
      <w:smartTag w:uri="urn:schemas-microsoft-com:office:smarttags" w:element="chsdate">
        <w:smartTagPr>
          <w:attr w:name="Year" w:val="2016"/>
          <w:attr w:name="Month" w:val="7"/>
          <w:attr w:name="Day" w:val="10"/>
          <w:attr w:name="IsLunarDate" w:val="False"/>
          <w:attr w:name="IsROCDate" w:val="False"/>
        </w:smartTagPr>
        <w:r>
          <w:rPr>
            <w:rFonts w:hint="eastAsia"/>
          </w:rPr>
          <w:t>7</w:t>
        </w:r>
        <w:r>
          <w:t>月</w:t>
        </w:r>
        <w:r>
          <w:rPr>
            <w:rFonts w:hint="eastAsia"/>
          </w:rPr>
          <w:t>10</w:t>
        </w:r>
        <w:r>
          <w:t>日</w:t>
        </w:r>
      </w:smartTag>
      <w:r>
        <w:t>为各地方建筑装饰协会（</w:t>
      </w:r>
      <w:r>
        <w:rPr>
          <w:rFonts w:hint="eastAsia"/>
        </w:rPr>
        <w:t>或</w:t>
      </w:r>
      <w:r>
        <w:t>幕墙委员</w:t>
      </w:r>
      <w:r>
        <w:rPr>
          <w:rFonts w:hint="eastAsia"/>
        </w:rPr>
        <w:t>会</w:t>
      </w:r>
      <w:r>
        <w:t>）将参评企业</w:t>
      </w:r>
      <w:r>
        <w:rPr>
          <w:rFonts w:hint="eastAsia"/>
        </w:rPr>
        <w:t>评价表</w:t>
      </w:r>
      <w:r>
        <w:t>上报</w:t>
      </w:r>
      <w:r>
        <w:rPr>
          <w:rFonts w:hint="eastAsia"/>
        </w:rPr>
        <w:t>幕墙工程委员会</w:t>
      </w:r>
      <w:r>
        <w:t>的截止日期。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4．</w:t>
      </w:r>
      <w:r>
        <w:rPr>
          <w:rFonts w:hint="eastAsia"/>
        </w:rPr>
        <w:t xml:space="preserve">3 </w:t>
      </w:r>
      <w:r>
        <w:t xml:space="preserve"> 复审：由</w:t>
      </w:r>
      <w:r>
        <w:rPr>
          <w:rFonts w:hint="eastAsia"/>
        </w:rPr>
        <w:t>幕墙工程委员会</w:t>
      </w:r>
      <w:r>
        <w:t>组织</w:t>
      </w:r>
      <w:r>
        <w:rPr>
          <w:rFonts w:hint="eastAsia"/>
        </w:rPr>
        <w:t>审计事务所和</w:t>
      </w:r>
      <w:r>
        <w:t>专家进行统计计算和排序工作。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4．</w:t>
      </w:r>
      <w:r>
        <w:rPr>
          <w:rFonts w:hint="eastAsia"/>
        </w:rPr>
        <w:t xml:space="preserve">4 </w:t>
      </w:r>
      <w:r>
        <w:t xml:space="preserve"> 公示：在中</w:t>
      </w:r>
      <w:r>
        <w:rPr>
          <w:rFonts w:hint="eastAsia"/>
        </w:rPr>
        <w:t>装新</w:t>
      </w:r>
      <w:r>
        <w:t>网</w:t>
      </w:r>
      <w:r>
        <w:rPr>
          <w:rFonts w:hint="eastAsia"/>
        </w:rPr>
        <w:t>、幕墙工程网</w:t>
      </w:r>
      <w:r>
        <w:t>上公示，时间为</w:t>
      </w:r>
      <w:r>
        <w:rPr>
          <w:rFonts w:hint="eastAsia"/>
        </w:rPr>
        <w:t>7</w:t>
      </w:r>
      <w:r>
        <w:t>个日历</w:t>
      </w:r>
      <w:r>
        <w:rPr>
          <w:rFonts w:hint="eastAsia"/>
        </w:rPr>
        <w:t>日</w:t>
      </w:r>
      <w:r>
        <w:t>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4．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 xml:space="preserve"> </w:t>
      </w:r>
      <w:r>
        <w:t>终</w:t>
      </w:r>
      <w:r>
        <w:rPr>
          <w:rFonts w:hint="eastAsia"/>
        </w:rPr>
        <w:t>审</w:t>
      </w:r>
      <w:r>
        <w:t>：由</w:t>
      </w:r>
      <w:r>
        <w:rPr>
          <w:rFonts w:hint="eastAsia"/>
        </w:rPr>
        <w:t>幕墙工程委员会将</w:t>
      </w:r>
      <w:r>
        <w:t>公示征集意见</w:t>
      </w:r>
      <w:r>
        <w:rPr>
          <w:rFonts w:hint="eastAsia"/>
        </w:rPr>
        <w:t>整理核实后确定最终结果并报送中国建筑装饰协会</w:t>
      </w:r>
      <w:r>
        <w:t>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t>4．</w:t>
      </w:r>
      <w:r>
        <w:rPr>
          <w:rFonts w:hint="eastAsia"/>
        </w:rPr>
        <w:t xml:space="preserve">6 </w:t>
      </w:r>
      <w:r>
        <w:t xml:space="preserve"> 公告：</w:t>
      </w:r>
      <w:r>
        <w:rPr>
          <w:rFonts w:hint="eastAsia"/>
        </w:rPr>
        <w:t>中国建筑装饰协会授权</w:t>
      </w:r>
      <w:r>
        <w:t>《中华建筑报》、《中国建筑装饰</w:t>
      </w:r>
      <w:r>
        <w:rPr>
          <w:rFonts w:hint="eastAsia"/>
        </w:rPr>
        <w:t>装修</w:t>
      </w:r>
      <w:r>
        <w:t>》</w:t>
      </w:r>
      <w:r>
        <w:rPr>
          <w:rFonts w:hint="eastAsia"/>
        </w:rPr>
        <w:t>杂志</w:t>
      </w:r>
      <w:r>
        <w:t>、中装</w:t>
      </w:r>
      <w:r>
        <w:rPr>
          <w:rFonts w:hint="eastAsia"/>
        </w:rPr>
        <w:t>新</w:t>
      </w:r>
      <w:r>
        <w:t>网（</w:t>
      </w:r>
      <w:hyperlink r:id="rId4" w:history="1">
        <w:r>
          <w:rPr>
            <w:rStyle w:val="a3"/>
            <w:color w:val="auto"/>
          </w:rPr>
          <w:t>www.</w:t>
        </w:r>
        <w:r>
          <w:rPr>
            <w:rStyle w:val="a3"/>
            <w:rFonts w:hint="eastAsia"/>
            <w:color w:val="auto"/>
          </w:rPr>
          <w:t>cbda</w:t>
        </w:r>
        <w:r>
          <w:rPr>
            <w:rStyle w:val="a3"/>
            <w:color w:val="auto"/>
          </w:rPr>
          <w:t>.cn</w:t>
        </w:r>
      </w:hyperlink>
      <w:r>
        <w:t>）</w:t>
      </w:r>
      <w:r>
        <w:rPr>
          <w:rFonts w:hint="eastAsia"/>
        </w:rPr>
        <w:t>、幕墙工程网（www.cncwe.net）</w:t>
      </w:r>
      <w:r>
        <w:t>等新闻媒体</w:t>
      </w:r>
      <w:r>
        <w:rPr>
          <w:rFonts w:hint="eastAsia"/>
        </w:rPr>
        <w:t>同时</w:t>
      </w:r>
      <w:r>
        <w:t>公告。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</w:pPr>
      <w:r>
        <w:rPr>
          <w:rStyle w:val="a5"/>
        </w:rPr>
        <w:t>五、 申报材料要求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>5．</w:t>
      </w:r>
      <w:r>
        <w:rPr>
          <w:rFonts w:hint="eastAsia"/>
        </w:rPr>
        <w:t>1  申报表（附件二）、评价表（附件三）、建造师表（附件四）、2015年度竣工幕墙项目表（附件五）各</w:t>
      </w:r>
      <w:r>
        <w:t>一份。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 xml:space="preserve">5．2 </w:t>
      </w:r>
      <w:r>
        <w:rPr>
          <w:rFonts w:hint="eastAsia"/>
        </w:rPr>
        <w:t xml:space="preserve"> </w:t>
      </w:r>
      <w:r>
        <w:t>企业法人营业执照、建筑业企业资质证书正、副本、安全生产许可证</w:t>
      </w:r>
      <w:r>
        <w:rPr>
          <w:rFonts w:hint="eastAsia"/>
        </w:rPr>
        <w:t>、中国建筑装饰协会会员证书扫描</w:t>
      </w:r>
      <w:r>
        <w:t>件。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>5．3</w:t>
      </w:r>
      <w:r>
        <w:rPr>
          <w:rFonts w:hint="eastAsia"/>
        </w:rPr>
        <w:t xml:space="preserve"> </w:t>
      </w:r>
      <w:r>
        <w:t xml:space="preserve"> 会计师事务所</w:t>
      </w:r>
      <w:r>
        <w:rPr>
          <w:rFonts w:hint="eastAsia"/>
        </w:rPr>
        <w:t>出具的2015</w:t>
      </w:r>
      <w:r>
        <w:t>年度审计报告及财务报表</w:t>
      </w:r>
      <w:r>
        <w:rPr>
          <w:rFonts w:hint="eastAsia"/>
        </w:rPr>
        <w:t>。集团公司下属的建筑幕墙公司或</w:t>
      </w:r>
      <w:r>
        <w:t>资质增项为建筑幕墙的企业，须将其建筑幕墙及金属门窗工程</w:t>
      </w:r>
      <w:r>
        <w:rPr>
          <w:rFonts w:hint="eastAsia"/>
        </w:rPr>
        <w:t>结算收入总额、税金总额、资产总额等相关财务数据从集团公司总收入或</w:t>
      </w:r>
      <w:r>
        <w:t>主项产值</w:t>
      </w:r>
      <w:r>
        <w:rPr>
          <w:rFonts w:hint="eastAsia"/>
        </w:rPr>
        <w:t>、税金、资产总额等相关财务数据中</w:t>
      </w:r>
      <w:r>
        <w:t>剥离，并提供</w:t>
      </w:r>
      <w:r>
        <w:rPr>
          <w:rFonts w:hint="eastAsia"/>
        </w:rPr>
        <w:t>独立审计报告或在审计报告中单列</w:t>
      </w:r>
      <w:r>
        <w:t>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t>5．</w:t>
      </w:r>
      <w:r>
        <w:rPr>
          <w:rFonts w:hint="eastAsia"/>
        </w:rPr>
        <w:t xml:space="preserve">4  </w:t>
      </w:r>
      <w:r>
        <w:t>年度工程获奖证明</w:t>
      </w:r>
      <w:r>
        <w:rPr>
          <w:rFonts w:hint="eastAsia"/>
        </w:rPr>
        <w:t>材料、高新技术企业证明材料、国家级（省级）工程中心证明材料、全国建筑装饰行业信用评级证书、年度获中国建筑装饰协会幕墙工程委员会推荐企业证书、</w:t>
      </w:r>
      <w:r>
        <w:t>年度获专利证书</w:t>
      </w:r>
      <w:r>
        <w:rPr>
          <w:rFonts w:hint="eastAsia"/>
        </w:rPr>
        <w:t>、年度获国家级（省级）工法证书、注册建造师资格证书扫描</w:t>
      </w:r>
      <w:r>
        <w:t>件。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lastRenderedPageBreak/>
        <w:t>5．</w:t>
      </w:r>
      <w:r>
        <w:rPr>
          <w:rFonts w:hint="eastAsia"/>
        </w:rPr>
        <w:t>5  申报合同额过亿元或高度超过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150米</w:t>
        </w:r>
      </w:smartTag>
      <w:r>
        <w:rPr>
          <w:rFonts w:hint="eastAsia"/>
        </w:rPr>
        <w:t>的幕墙工程项目需列明工程项目名称、地址（省、市、区），工程业主单位名称等，并附上工程合同书扫描件及工程立面图电子文件。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rPr>
          <w:rFonts w:hint="eastAsia"/>
        </w:rPr>
        <w:t>5</w:t>
      </w:r>
      <w:r>
        <w:t>．</w:t>
      </w:r>
      <w:r>
        <w:rPr>
          <w:rFonts w:hint="eastAsia"/>
        </w:rPr>
        <w:t>6  企业介绍，包括：企业发展介绍、主要负责人介绍（附照片）；近年代表性经典工程项目情况及相关图片（单个工程图片要求3幅以上，图片分辨率在300dpi以上）；企业技术研发能力；企业近年经营发展方向及目标等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rPr>
          <w:rFonts w:hint="eastAsia"/>
        </w:rPr>
        <w:t>5</w:t>
      </w:r>
      <w:r>
        <w:t>．</w:t>
      </w:r>
      <w:r>
        <w:rPr>
          <w:rFonts w:hint="eastAsia"/>
        </w:rPr>
        <w:t>7  以上各项资料的电子文件（扫描件、数码照片）一律发送至邮箱：（</w:t>
      </w:r>
      <w:hyperlink r:id="rId5" w:history="1">
        <w:r>
          <w:rPr>
            <w:rStyle w:val="a3"/>
            <w:rFonts w:hint="eastAsia"/>
            <w:color w:val="auto"/>
          </w:rPr>
          <w:t>muqing100@126.com</w:t>
        </w:r>
      </w:hyperlink>
      <w:r>
        <w:rPr>
          <w:rFonts w:hint="eastAsia"/>
        </w:rPr>
        <w:t>）。</w:t>
      </w:r>
    </w:p>
    <w:p w:rsidR="00AF4278" w:rsidRDefault="00AF4278" w:rsidP="00CE5964">
      <w:pPr>
        <w:pStyle w:val="a4"/>
        <w:spacing w:beforeLines="50" w:beforeAutospacing="0" w:afterLines="50" w:afterAutospacing="0" w:line="300" w:lineRule="auto"/>
        <w:ind w:firstLineChars="200" w:firstLine="480"/>
        <w:jc w:val="both"/>
      </w:pPr>
      <w:r>
        <w:rPr>
          <w:rFonts w:hint="eastAsia"/>
        </w:rPr>
        <w:t>5.8  申报表（附件二）、评价表（附件三）、审计报告及财务报表</w:t>
      </w:r>
      <w:r>
        <w:t>须</w:t>
      </w:r>
      <w:r>
        <w:rPr>
          <w:rFonts w:hint="eastAsia"/>
        </w:rPr>
        <w:t>按要求填写打印并盖章后，单独快递至活动主办单位。</w:t>
      </w:r>
      <w:r>
        <w:t>审计报告及</w:t>
      </w:r>
      <w:r>
        <w:rPr>
          <w:rFonts w:hint="eastAsia"/>
        </w:rPr>
        <w:t>财务</w:t>
      </w:r>
      <w:r>
        <w:t>报表须加盖会计师事务所骑缝红章</w:t>
      </w:r>
      <w:r>
        <w:rPr>
          <w:rFonts w:hint="eastAsia"/>
        </w:rPr>
        <w:t>，并单独装订成册，以备案查询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jc w:val="both"/>
      </w:pPr>
      <w:r>
        <w:rPr>
          <w:rStyle w:val="a5"/>
          <w:rFonts w:hint="eastAsia"/>
        </w:rPr>
        <w:t>六</w:t>
      </w:r>
      <w:r>
        <w:rPr>
          <w:rStyle w:val="a5"/>
        </w:rPr>
        <w:t>、</w:t>
      </w:r>
      <w:r>
        <w:rPr>
          <w:rStyle w:val="a5"/>
          <w:rFonts w:hint="eastAsia"/>
        </w:rPr>
        <w:t>推介活动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182" w:firstLine="437"/>
      </w:pPr>
      <w:r>
        <w:rPr>
          <w:rFonts w:hint="eastAsia"/>
        </w:rPr>
        <w:t>6．1  编辑出版《2015年度中国建筑幕墙</w:t>
      </w:r>
      <w:r w:rsidRPr="00D5125B">
        <w:rPr>
          <w:rFonts w:hint="eastAsia"/>
        </w:rPr>
        <w:t>百</w:t>
      </w:r>
      <w:r>
        <w:rPr>
          <w:rFonts w:hint="eastAsia"/>
        </w:rPr>
        <w:t>强》图集画册，面向全行业发送，同时作为各种推介活动的资料。并向建筑行政主管部门、行业协会、工程招投标机构、业主及媒体等积极推介。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182" w:firstLine="437"/>
      </w:pPr>
      <w:r>
        <w:rPr>
          <w:rFonts w:hint="eastAsia"/>
        </w:rPr>
        <w:t>6. 2  活动主办单位将持续组织对幕墙</w:t>
      </w:r>
      <w:r w:rsidRPr="00D5125B">
        <w:rPr>
          <w:rFonts w:hint="eastAsia"/>
        </w:rPr>
        <w:t>百</w:t>
      </w:r>
      <w:r>
        <w:rPr>
          <w:rFonts w:hint="eastAsia"/>
        </w:rPr>
        <w:t>强企业进行报道，在相关媒体专题刊发，进一步扩大幕墙</w:t>
      </w:r>
      <w:r w:rsidRPr="00D5125B">
        <w:rPr>
          <w:rFonts w:hint="eastAsia"/>
        </w:rPr>
        <w:t>百</w:t>
      </w:r>
      <w:r>
        <w:rPr>
          <w:rFonts w:hint="eastAsia"/>
        </w:rPr>
        <w:t xml:space="preserve">强企业的社会影响力，助推企业发展。 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jc w:val="both"/>
      </w:pPr>
      <w:r>
        <w:rPr>
          <w:rStyle w:val="a5"/>
          <w:rFonts w:hint="eastAsia"/>
        </w:rPr>
        <w:t>七</w:t>
      </w:r>
      <w:r>
        <w:rPr>
          <w:rStyle w:val="a5"/>
        </w:rPr>
        <w:t>、</w:t>
      </w:r>
      <w:r>
        <w:rPr>
          <w:rStyle w:val="a5"/>
          <w:rFonts w:hint="eastAsia"/>
        </w:rPr>
        <w:t>其他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firstLineChars="200" w:firstLine="480"/>
        <w:jc w:val="both"/>
      </w:pPr>
      <w:r>
        <w:rPr>
          <w:rFonts w:hint="eastAsia"/>
        </w:rPr>
        <w:t>7</w:t>
      </w:r>
      <w:r>
        <w:t>．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 本活动所有申报资料可从幕墙工程网（www.cncwe.net）下载</w:t>
      </w:r>
      <w:r>
        <w:t>。</w:t>
      </w:r>
    </w:p>
    <w:p w:rsidR="00AF4278" w:rsidRDefault="00AF4278" w:rsidP="00CE5964">
      <w:pPr>
        <w:pStyle w:val="a4"/>
        <w:spacing w:beforeLines="50" w:beforeAutospacing="0" w:afterLines="50" w:afterAutospacing="0" w:line="336" w:lineRule="auto"/>
        <w:ind w:left="5250" w:firstLineChars="472" w:firstLine="1133"/>
      </w:pPr>
    </w:p>
    <w:p w:rsidR="00AF4278" w:rsidRDefault="00AF4278" w:rsidP="00AF4278">
      <w:pPr>
        <w:spacing w:line="460" w:lineRule="exact"/>
        <w:ind w:right="960"/>
        <w:rPr>
          <w:sz w:val="24"/>
        </w:rPr>
      </w:pPr>
    </w:p>
    <w:p w:rsidR="00AF4278" w:rsidRDefault="00AF4278" w:rsidP="00AF4278">
      <w:pPr>
        <w:spacing w:line="460" w:lineRule="exact"/>
        <w:ind w:right="960"/>
        <w:rPr>
          <w:sz w:val="24"/>
        </w:rPr>
      </w:pPr>
    </w:p>
    <w:p w:rsidR="00AF4278" w:rsidRDefault="00AF4278" w:rsidP="00AF4278">
      <w:pPr>
        <w:spacing w:line="460" w:lineRule="exact"/>
        <w:ind w:right="960"/>
        <w:rPr>
          <w:sz w:val="24"/>
        </w:rPr>
      </w:pPr>
    </w:p>
    <w:p w:rsidR="00AF4278" w:rsidRDefault="00AF4278" w:rsidP="00AF4278">
      <w:pPr>
        <w:spacing w:line="460" w:lineRule="exact"/>
        <w:ind w:right="960"/>
        <w:rPr>
          <w:sz w:val="24"/>
        </w:rPr>
      </w:pPr>
    </w:p>
    <w:p w:rsidR="00AF4278" w:rsidRDefault="00AF4278" w:rsidP="00AF4278">
      <w:pPr>
        <w:spacing w:line="460" w:lineRule="exact"/>
        <w:ind w:right="960"/>
        <w:rPr>
          <w:sz w:val="24"/>
        </w:rPr>
      </w:pPr>
    </w:p>
    <w:p w:rsidR="00AF4278" w:rsidRDefault="00AF4278" w:rsidP="00AF4278">
      <w:pPr>
        <w:spacing w:line="460" w:lineRule="exact"/>
        <w:ind w:right="960"/>
        <w:rPr>
          <w:sz w:val="24"/>
        </w:rPr>
      </w:pPr>
    </w:p>
    <w:p w:rsidR="008E5577" w:rsidRPr="00AF4278" w:rsidRDefault="008E5577"/>
    <w:sectPr w:rsidR="008E5577" w:rsidRPr="00AF4278" w:rsidSect="00C17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278"/>
    <w:rsid w:val="008E5577"/>
    <w:rsid w:val="00AF4278"/>
    <w:rsid w:val="00C17CA8"/>
    <w:rsid w:val="00C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cwe.net" TargetMode="External"/><Relationship Id="rId4" Type="http://schemas.openxmlformats.org/officeDocument/2006/relationships/hyperlink" Target="http://www.cbd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2016-05-18T05:17:00Z</dcterms:created>
  <dcterms:modified xsi:type="dcterms:W3CDTF">2016-05-19T08:56:00Z</dcterms:modified>
</cp:coreProperties>
</file>