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10" w:rsidRPr="00AD4295" w:rsidRDefault="00803510" w:rsidP="00803510">
      <w:pPr>
        <w:shd w:val="solid" w:color="FFFFFF" w:fill="auto"/>
        <w:autoSpaceDN w:val="0"/>
        <w:snapToGrid w:val="0"/>
        <w:spacing w:line="360" w:lineRule="auto"/>
        <w:rPr>
          <w:rFonts w:ascii="宋体" w:hAnsi="宋体" w:cs="宋体" w:hint="eastAsia"/>
          <w:b/>
          <w:bCs/>
          <w:color w:val="000000"/>
          <w:sz w:val="24"/>
          <w:shd w:val="clear" w:color="auto" w:fill="FFFFFF"/>
        </w:rPr>
      </w:pPr>
      <w:r w:rsidRPr="00AD4295">
        <w:rPr>
          <w:rFonts w:ascii="宋体" w:hAnsi="宋体" w:cs="宋体" w:hint="eastAsia"/>
          <w:b/>
          <w:bCs/>
          <w:color w:val="000000"/>
          <w:sz w:val="24"/>
          <w:shd w:val="clear" w:color="auto" w:fill="FFFFFF"/>
        </w:rPr>
        <w:t>附件4：</w:t>
      </w:r>
    </w:p>
    <w:p w:rsidR="00803510" w:rsidRPr="004B08F1" w:rsidRDefault="00803510" w:rsidP="00803510">
      <w:pPr>
        <w:shd w:val="solid" w:color="FFFFFF" w:fill="auto"/>
        <w:autoSpaceDN w:val="0"/>
        <w:snapToGrid w:val="0"/>
        <w:spacing w:line="360" w:lineRule="auto"/>
        <w:jc w:val="center"/>
        <w:rPr>
          <w:rFonts w:ascii="宋体" w:hAnsi="宋体" w:cs="宋体" w:hint="eastAsia"/>
          <w:b/>
          <w:bCs/>
          <w:color w:val="000000"/>
          <w:sz w:val="28"/>
          <w:szCs w:val="28"/>
          <w:shd w:val="clear" w:color="auto" w:fill="FFFFFF"/>
        </w:rPr>
      </w:pPr>
      <w:r w:rsidRPr="004B08F1">
        <w:rPr>
          <w:rFonts w:ascii="宋体" w:hAnsi="宋体" w:cs="宋体" w:hint="eastAsia"/>
          <w:b/>
          <w:bCs/>
          <w:color w:val="000000"/>
          <w:sz w:val="28"/>
          <w:szCs w:val="28"/>
          <w:shd w:val="clear" w:color="auto" w:fill="FFFFFF"/>
        </w:rPr>
        <w:t>2015中国建材家居企业100强评价指标体系</w:t>
      </w:r>
    </w:p>
    <w:p w:rsidR="00803510" w:rsidRPr="00AD4295" w:rsidRDefault="00803510" w:rsidP="00803510">
      <w:pPr>
        <w:shd w:val="solid" w:color="FFFFFF" w:fill="auto"/>
        <w:autoSpaceDN w:val="0"/>
        <w:snapToGrid w:val="0"/>
        <w:spacing w:line="360"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“2015年中国建材家居企业百强”企业评价推介活动品牌研究指标体系由企业指标和消费者指标以及加分项（信用评价）共同构成，分值分别为企业指标80分、消费者指标20分、信用评价加10分。</w:t>
      </w:r>
    </w:p>
    <w:p w:rsidR="00803510" w:rsidRPr="00AD4295" w:rsidRDefault="00803510" w:rsidP="00803510">
      <w:pPr>
        <w:shd w:val="solid" w:color="FFFFFF" w:fill="auto"/>
        <w:autoSpaceDN w:val="0"/>
        <w:snapToGrid w:val="0"/>
        <w:spacing w:line="360"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企业指标由企业规模、风险管理、盈利能力、成长潜力、运营绩效、创新能力、社会责任七个二级指标以及隶属其下的21个三级指标构成，从企业的财务状况、营销能力、技术创新实力以及社会责任等方面对反映建材家居企业的综合实力。</w:t>
      </w:r>
    </w:p>
    <w:p w:rsidR="00803510" w:rsidRPr="00AD4295" w:rsidRDefault="00803510" w:rsidP="00803510">
      <w:pPr>
        <w:shd w:val="solid" w:color="FFFFFF" w:fill="auto"/>
        <w:autoSpaceDN w:val="0"/>
        <w:snapToGrid w:val="0"/>
        <w:spacing w:line="360"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消费者指标由品牌认知指标、消费者口碑指标两个二级指标以及隶属其下的2个三级指标构成，从消费者的角度，对建材家居企业的品牌知名度、产品功能、服务等方面进行评价。</w:t>
      </w:r>
    </w:p>
    <w:p w:rsidR="00803510" w:rsidRPr="00AD4295" w:rsidRDefault="00803510" w:rsidP="00803510">
      <w:pPr>
        <w:shd w:val="solid" w:color="FFFFFF" w:fill="auto"/>
        <w:autoSpaceDN w:val="0"/>
        <w:snapToGrid w:val="0"/>
        <w:spacing w:line="360"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关于分榜单指标说明：</w:t>
      </w:r>
    </w:p>
    <w:p w:rsidR="00803510" w:rsidRPr="00AD4295" w:rsidRDefault="00803510" w:rsidP="00803510">
      <w:pPr>
        <w:numPr>
          <w:ilvl w:val="0"/>
          <w:numId w:val="1"/>
        </w:numPr>
        <w:shd w:val="solid" w:color="FFFFFF" w:fill="auto"/>
        <w:autoSpaceDN w:val="0"/>
        <w:snapToGrid w:val="0"/>
        <w:spacing w:line="360" w:lineRule="auto"/>
        <w:ind w:firstLineChars="200" w:firstLine="480"/>
        <w:rPr>
          <w:rFonts w:ascii="宋体" w:hAnsi="宋体" w:cs="宋体" w:hint="eastAsia"/>
          <w:sz w:val="24"/>
        </w:rPr>
      </w:pPr>
      <w:r w:rsidRPr="00AD4295">
        <w:rPr>
          <w:rFonts w:ascii="宋体" w:hAnsi="宋体" w:cs="宋体" w:hint="eastAsia"/>
          <w:sz w:val="24"/>
        </w:rPr>
        <w:t>“2015年中国建筑装饰材料最具影响力18大民族品牌”</w:t>
      </w:r>
    </w:p>
    <w:p w:rsidR="00803510" w:rsidRPr="00AD4295" w:rsidRDefault="00803510" w:rsidP="00803510">
      <w:pPr>
        <w:shd w:val="solid" w:color="FFFFFF" w:fill="auto"/>
        <w:autoSpaceDN w:val="0"/>
        <w:snapToGrid w:val="0"/>
        <w:spacing w:line="360" w:lineRule="auto"/>
        <w:rPr>
          <w:rFonts w:ascii="宋体" w:hAnsi="宋体" w:cs="宋体" w:hint="eastAsia"/>
          <w:sz w:val="24"/>
        </w:rPr>
      </w:pPr>
      <w:r w:rsidRPr="00AD4295">
        <w:rPr>
          <w:rFonts w:ascii="宋体" w:hAnsi="宋体" w:cs="宋体" w:hint="eastAsia"/>
          <w:sz w:val="24"/>
        </w:rPr>
        <w:t xml:space="preserve">    在基本指标基础上，申报企业必须是本土企业，并具有名列前茅的企业规模、优势明显的市场份额、广泛认可的企业荣誉以及较高的品牌知名度和较强的号召力。</w:t>
      </w:r>
    </w:p>
    <w:p w:rsidR="00803510" w:rsidRPr="00AD4295" w:rsidRDefault="00803510" w:rsidP="00803510">
      <w:pPr>
        <w:numPr>
          <w:ilvl w:val="0"/>
          <w:numId w:val="1"/>
        </w:numPr>
        <w:shd w:val="solid" w:color="FFFFFF" w:fill="auto"/>
        <w:autoSpaceDN w:val="0"/>
        <w:snapToGrid w:val="0"/>
        <w:spacing w:line="360" w:lineRule="auto"/>
        <w:ind w:firstLineChars="200" w:firstLine="480"/>
        <w:rPr>
          <w:rFonts w:ascii="宋体" w:hAnsi="宋体" w:cs="宋体" w:hint="eastAsia"/>
          <w:sz w:val="24"/>
        </w:rPr>
      </w:pPr>
      <w:r w:rsidRPr="00AD4295">
        <w:rPr>
          <w:rFonts w:ascii="宋体" w:hAnsi="宋体" w:cs="宋体" w:hint="eastAsia"/>
          <w:sz w:val="24"/>
        </w:rPr>
        <w:t>“2015中国建筑装饰材料最具投资价值潜力品牌”</w:t>
      </w:r>
    </w:p>
    <w:p w:rsidR="00803510" w:rsidRPr="00AD4295" w:rsidRDefault="00803510" w:rsidP="00803510">
      <w:pPr>
        <w:shd w:val="solid" w:color="FFFFFF" w:fill="auto"/>
        <w:autoSpaceDN w:val="0"/>
        <w:snapToGrid w:val="0"/>
        <w:spacing w:line="360" w:lineRule="auto"/>
        <w:rPr>
          <w:rFonts w:ascii="宋体" w:hAnsi="宋体" w:cs="宋体" w:hint="eastAsia"/>
          <w:sz w:val="24"/>
        </w:rPr>
      </w:pPr>
      <w:r w:rsidRPr="00AD4295">
        <w:rPr>
          <w:rFonts w:ascii="宋体" w:hAnsi="宋体" w:cs="宋体" w:hint="eastAsia"/>
          <w:sz w:val="24"/>
        </w:rPr>
        <w:t xml:space="preserve">    在基本指标基础上，侧重于企业的品牌潜力，申报企业需要近3年经营状况良好，企业数据清晰，处在高速增涨时期，具有明确的战略规划。</w:t>
      </w:r>
    </w:p>
    <w:p w:rsidR="00803510" w:rsidRPr="00AD4295" w:rsidRDefault="00803510" w:rsidP="00803510">
      <w:pPr>
        <w:numPr>
          <w:ilvl w:val="0"/>
          <w:numId w:val="1"/>
        </w:numPr>
        <w:shd w:val="solid" w:color="FFFFFF" w:fill="auto"/>
        <w:autoSpaceDN w:val="0"/>
        <w:snapToGrid w:val="0"/>
        <w:spacing w:line="360" w:lineRule="auto"/>
        <w:ind w:firstLineChars="200" w:firstLine="480"/>
        <w:rPr>
          <w:rFonts w:ascii="宋体" w:hAnsi="宋体" w:cs="宋体" w:hint="eastAsia"/>
          <w:sz w:val="24"/>
        </w:rPr>
      </w:pPr>
      <w:r w:rsidRPr="00AD4295">
        <w:rPr>
          <w:rFonts w:ascii="宋体" w:hAnsi="宋体" w:cs="宋体" w:hint="eastAsia"/>
          <w:sz w:val="24"/>
        </w:rPr>
        <w:t>“2015中国建筑装饰材料创新产品品牌”</w:t>
      </w:r>
    </w:p>
    <w:p w:rsidR="00803510" w:rsidRPr="00AD4295" w:rsidRDefault="00803510" w:rsidP="00803510">
      <w:pPr>
        <w:shd w:val="solid" w:color="FFFFFF" w:fill="auto"/>
        <w:autoSpaceDN w:val="0"/>
        <w:snapToGrid w:val="0"/>
        <w:spacing w:line="360" w:lineRule="auto"/>
        <w:rPr>
          <w:rFonts w:ascii="宋体" w:hAnsi="宋体" w:cs="宋体" w:hint="eastAsia"/>
          <w:sz w:val="24"/>
        </w:rPr>
      </w:pPr>
      <w:r w:rsidRPr="00AD4295">
        <w:rPr>
          <w:rFonts w:ascii="宋体" w:hAnsi="宋体" w:cs="宋体" w:hint="eastAsia"/>
          <w:sz w:val="24"/>
        </w:rPr>
        <w:t xml:space="preserve">    在基本指标基础上，侧重于产品创新，申报企业需要拥有有价值的独立自主知识产权，拥有独特的视角和实践带来新的机遇和空间，在理论或实践方面有开创性突破并在市场上取得较大成功。</w:t>
      </w:r>
    </w:p>
    <w:p w:rsidR="00803510" w:rsidRPr="00AD4295" w:rsidRDefault="00803510" w:rsidP="00803510">
      <w:pPr>
        <w:numPr>
          <w:ilvl w:val="0"/>
          <w:numId w:val="1"/>
        </w:numPr>
        <w:shd w:val="solid" w:color="FFFFFF" w:fill="auto"/>
        <w:autoSpaceDN w:val="0"/>
        <w:snapToGrid w:val="0"/>
        <w:spacing w:line="360" w:lineRule="auto"/>
        <w:ind w:firstLineChars="200" w:firstLine="480"/>
        <w:rPr>
          <w:rFonts w:ascii="宋体" w:hAnsi="宋体" w:cs="宋体" w:hint="eastAsia"/>
          <w:sz w:val="24"/>
        </w:rPr>
      </w:pPr>
      <w:r w:rsidRPr="00AD4295">
        <w:rPr>
          <w:rFonts w:ascii="宋体" w:hAnsi="宋体" w:cs="宋体" w:hint="eastAsia"/>
          <w:sz w:val="24"/>
        </w:rPr>
        <w:t>“2015中国建筑装饰材料互联网应用示范企业”</w:t>
      </w:r>
    </w:p>
    <w:p w:rsidR="00803510" w:rsidRPr="00AD4295" w:rsidRDefault="00803510" w:rsidP="00803510">
      <w:pPr>
        <w:shd w:val="solid" w:color="FFFFFF" w:fill="auto"/>
        <w:autoSpaceDN w:val="0"/>
        <w:snapToGrid w:val="0"/>
        <w:spacing w:line="360" w:lineRule="auto"/>
        <w:rPr>
          <w:rFonts w:ascii="宋体" w:hAnsi="宋体" w:cs="宋体" w:hint="eastAsia"/>
          <w:sz w:val="24"/>
        </w:rPr>
      </w:pPr>
      <w:r w:rsidRPr="00AD4295">
        <w:rPr>
          <w:rFonts w:ascii="宋体" w:hAnsi="宋体" w:cs="宋体" w:hint="eastAsia"/>
          <w:sz w:val="24"/>
        </w:rPr>
        <w:t xml:space="preserve">    在基本指标基础上，申报企业需要拥有良好的互联网销售平台并取得了突出的成绩，在行业内具有示范指导作用。</w:t>
      </w:r>
    </w:p>
    <w:p w:rsidR="00803510" w:rsidRPr="00AD4295" w:rsidRDefault="00803510" w:rsidP="00803510">
      <w:pPr>
        <w:numPr>
          <w:ilvl w:val="0"/>
          <w:numId w:val="1"/>
        </w:numPr>
        <w:shd w:val="solid" w:color="FFFFFF" w:fill="auto"/>
        <w:autoSpaceDN w:val="0"/>
        <w:snapToGrid w:val="0"/>
        <w:spacing w:line="360" w:lineRule="auto"/>
        <w:ind w:firstLineChars="200" w:firstLine="480"/>
        <w:rPr>
          <w:rFonts w:ascii="宋体" w:hAnsi="宋体" w:cs="宋体" w:hint="eastAsia"/>
          <w:color w:val="000000"/>
          <w:sz w:val="24"/>
          <w:shd w:val="clear" w:color="auto" w:fill="FFFFFF"/>
        </w:rPr>
      </w:pPr>
      <w:r w:rsidRPr="00AD4295">
        <w:rPr>
          <w:rFonts w:ascii="宋体" w:hAnsi="宋体" w:cs="宋体" w:hint="eastAsia"/>
          <w:sz w:val="24"/>
        </w:rPr>
        <w:t>“2015中国建筑装饰材料消费者信赖品牌”</w:t>
      </w:r>
    </w:p>
    <w:p w:rsidR="00803510" w:rsidRPr="003F4EF4" w:rsidRDefault="00803510" w:rsidP="00803510">
      <w:pPr>
        <w:shd w:val="solid" w:color="FFFFFF" w:fill="auto"/>
        <w:autoSpaceDN w:val="0"/>
        <w:snapToGrid w:val="0"/>
        <w:spacing w:line="360" w:lineRule="auto"/>
        <w:ind w:firstLine="480"/>
        <w:rPr>
          <w:rFonts w:ascii="宋体" w:hAnsi="宋体" w:cs="宋体" w:hint="eastAsia"/>
          <w:color w:val="000000"/>
          <w:sz w:val="24"/>
          <w:shd w:val="clear" w:color="auto" w:fill="FFFFFF"/>
        </w:rPr>
      </w:pPr>
      <w:r w:rsidRPr="00AD4295">
        <w:rPr>
          <w:rFonts w:ascii="宋体" w:hAnsi="宋体" w:cs="宋体" w:hint="eastAsia"/>
          <w:sz w:val="24"/>
        </w:rPr>
        <w:t>在基本指标的基础上，侧重于消费者指标，申报企业需要拥有较高的品牌知名度和美誉度，近5年内没有消费负面消息和税务负面消息。</w:t>
      </w:r>
    </w:p>
    <w:p w:rsidR="00803510" w:rsidRDefault="00803510" w:rsidP="00803510">
      <w:pPr>
        <w:widowControl/>
        <w:spacing w:afterLines="50" w:line="240" w:lineRule="atLeast"/>
        <w:jc w:val="center"/>
        <w:rPr>
          <w:rFonts w:ascii="宋体" w:hAnsi="宋体" w:cs="宋体" w:hint="eastAsia"/>
          <w:sz w:val="24"/>
        </w:rPr>
      </w:pPr>
    </w:p>
    <w:p w:rsidR="00803510" w:rsidRDefault="00803510" w:rsidP="00803510">
      <w:pPr>
        <w:widowControl/>
        <w:spacing w:afterLines="50" w:line="240" w:lineRule="atLeast"/>
        <w:jc w:val="center"/>
        <w:rPr>
          <w:rFonts w:ascii="宋体" w:hAnsi="宋体" w:cs="宋体" w:hint="eastAsia"/>
          <w:sz w:val="24"/>
        </w:rPr>
      </w:pPr>
    </w:p>
    <w:p w:rsidR="00803510" w:rsidRPr="00AD4295" w:rsidRDefault="00803510" w:rsidP="00803510">
      <w:pPr>
        <w:widowControl/>
        <w:spacing w:afterLines="50" w:line="240" w:lineRule="atLeast"/>
        <w:jc w:val="center"/>
        <w:rPr>
          <w:rFonts w:ascii="宋体" w:hAnsi="宋体" w:cs="宋体" w:hint="eastAsia"/>
          <w:sz w:val="24"/>
        </w:rPr>
      </w:pPr>
      <w:r w:rsidRPr="00AD4295">
        <w:rPr>
          <w:rFonts w:ascii="宋体" w:hAnsi="宋体" w:cs="宋体" w:hint="eastAsia"/>
          <w:sz w:val="24"/>
        </w:rPr>
        <w:t>企业竞争力指数体系（80%）</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75"/>
        <w:gridCol w:w="1276"/>
        <w:gridCol w:w="3686"/>
        <w:gridCol w:w="1755"/>
      </w:tblGrid>
      <w:tr w:rsidR="00803510" w:rsidTr="000927A4">
        <w:trPr>
          <w:trHeight w:hRule="exact" w:val="340"/>
        </w:trPr>
        <w:tc>
          <w:tcPr>
            <w:tcW w:w="1101" w:type="dxa"/>
            <w:tcBorders>
              <w:top w:val="single" w:sz="4" w:space="0" w:color="000000"/>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目标层</w:t>
            </w:r>
          </w:p>
        </w:tc>
        <w:tc>
          <w:tcPr>
            <w:tcW w:w="1275" w:type="dxa"/>
            <w:tcBorders>
              <w:top w:val="single" w:sz="4" w:space="0" w:color="000000"/>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要素层</w:t>
            </w:r>
          </w:p>
        </w:tc>
        <w:tc>
          <w:tcPr>
            <w:tcW w:w="1276" w:type="dxa"/>
            <w:tcBorders>
              <w:top w:val="single" w:sz="4" w:space="0" w:color="000000"/>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要素权重</w:t>
            </w:r>
          </w:p>
        </w:tc>
        <w:tc>
          <w:tcPr>
            <w:tcW w:w="3686" w:type="dxa"/>
            <w:tcBorders>
              <w:top w:val="single" w:sz="4" w:space="0" w:color="000000"/>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指标层</w:t>
            </w:r>
          </w:p>
        </w:tc>
        <w:tc>
          <w:tcPr>
            <w:tcW w:w="1755" w:type="dxa"/>
            <w:tcBorders>
              <w:top w:val="single" w:sz="4" w:space="0" w:color="000000"/>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指标权重</w:t>
            </w:r>
          </w:p>
        </w:tc>
      </w:tr>
      <w:tr w:rsidR="00803510" w:rsidTr="000927A4">
        <w:trPr>
          <w:trHeight w:hRule="exact" w:val="330"/>
        </w:trPr>
        <w:tc>
          <w:tcPr>
            <w:tcW w:w="1101" w:type="dxa"/>
            <w:vMerge w:val="restart"/>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建材家居100强企业竞争力指数</w:t>
            </w:r>
          </w:p>
        </w:tc>
        <w:tc>
          <w:tcPr>
            <w:tcW w:w="1275" w:type="dxa"/>
            <w:vMerge w:val="restart"/>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规模指数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（15%）</w:t>
            </w:r>
          </w:p>
        </w:tc>
        <w:tc>
          <w:tcPr>
            <w:tcW w:w="1276" w:type="dxa"/>
            <w:vMerge w:val="restart"/>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vertAlign w:val="subscript"/>
              </w:rPr>
            </w:pPr>
            <w:r>
              <w:rPr>
                <w:rFonts w:ascii="宋体" w:hAnsi="宋体" w:cs="宋体" w:hint="eastAsia"/>
                <w:kern w:val="0"/>
                <w:szCs w:val="21"/>
              </w:rPr>
              <w:t>w</w:t>
            </w:r>
            <w:r>
              <w:rPr>
                <w:rFonts w:ascii="宋体" w:hAnsi="宋体" w:cs="宋体" w:hint="eastAsia"/>
                <w:kern w:val="0"/>
                <w:szCs w:val="21"/>
                <w:vertAlign w:val="subscript"/>
              </w:rPr>
              <w:t>1</w:t>
            </w:r>
          </w:p>
        </w:tc>
        <w:tc>
          <w:tcPr>
            <w:tcW w:w="3686"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营业收入</w:t>
            </w:r>
          </w:p>
        </w:tc>
        <w:tc>
          <w:tcPr>
            <w:tcW w:w="1755"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11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总资产</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12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从业人数</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13</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000000"/>
              <w:left w:val="single" w:sz="4" w:space="0" w:color="000000"/>
              <w:bottom w:val="double" w:sz="4" w:space="0" w:color="auto"/>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val="restart"/>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盈利指数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（15%）</w:t>
            </w:r>
          </w:p>
        </w:tc>
        <w:tc>
          <w:tcPr>
            <w:tcW w:w="1276" w:type="dxa"/>
            <w:vMerge w:val="restart"/>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2</w:t>
            </w:r>
          </w:p>
        </w:tc>
        <w:tc>
          <w:tcPr>
            <w:tcW w:w="3686"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净利润</w:t>
            </w:r>
          </w:p>
        </w:tc>
        <w:tc>
          <w:tcPr>
            <w:tcW w:w="1755"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21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销售净利率</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22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资产净利率</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23</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人均净利润</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24</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000000"/>
              <w:left w:val="single" w:sz="4" w:space="0" w:color="000000"/>
              <w:bottom w:val="double" w:sz="4" w:space="0" w:color="auto"/>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val="restart"/>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成长指数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（20%）</w:t>
            </w:r>
          </w:p>
        </w:tc>
        <w:tc>
          <w:tcPr>
            <w:tcW w:w="1276" w:type="dxa"/>
            <w:vMerge w:val="restart"/>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3</w:t>
            </w:r>
          </w:p>
        </w:tc>
        <w:tc>
          <w:tcPr>
            <w:tcW w:w="3686"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营业收入增长率（3年年均）</w:t>
            </w:r>
          </w:p>
        </w:tc>
        <w:tc>
          <w:tcPr>
            <w:tcW w:w="1755"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31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总资产增长率（3年年均）</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32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净利润增长率（3年年均）</w:t>
            </w:r>
          </w:p>
        </w:tc>
        <w:tc>
          <w:tcPr>
            <w:tcW w:w="1755" w:type="dxa"/>
            <w:tcBorders>
              <w:top w:val="single" w:sz="4" w:space="0" w:color="000000"/>
              <w:left w:val="single" w:sz="4" w:space="0" w:color="000000"/>
              <w:bottom w:val="single" w:sz="4" w:space="0" w:color="000000"/>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33</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top w:val="double" w:sz="4" w:space="0" w:color="auto"/>
              <w:left w:val="single" w:sz="4" w:space="0" w:color="000000"/>
              <w:bottom w:val="double" w:sz="4" w:space="0" w:color="auto"/>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top w:val="double" w:sz="4" w:space="0" w:color="auto"/>
              <w:left w:val="single" w:sz="4" w:space="0" w:color="000000"/>
              <w:bottom w:val="double" w:sz="4" w:space="0" w:color="auto"/>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000000"/>
              <w:left w:val="single" w:sz="4" w:space="0" w:color="000000"/>
              <w:bottom w:val="double" w:sz="4" w:space="0" w:color="auto"/>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val="restart"/>
            <w:tcBorders>
              <w:top w:val="double" w:sz="4" w:space="0" w:color="auto"/>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风险管理指数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1276" w:type="dxa"/>
            <w:vMerge w:val="restart"/>
            <w:tcBorders>
              <w:top w:val="double" w:sz="4" w:space="0" w:color="auto"/>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4</w:t>
            </w:r>
          </w:p>
        </w:tc>
        <w:tc>
          <w:tcPr>
            <w:tcW w:w="3686"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流动比例</w:t>
            </w:r>
          </w:p>
        </w:tc>
        <w:tc>
          <w:tcPr>
            <w:tcW w:w="1755"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41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现金流动负债比率</w:t>
            </w:r>
          </w:p>
        </w:tc>
        <w:tc>
          <w:tcPr>
            <w:tcW w:w="1755"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42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nil"/>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资产负债率</w:t>
            </w:r>
          </w:p>
        </w:tc>
        <w:tc>
          <w:tcPr>
            <w:tcW w:w="1755" w:type="dxa"/>
            <w:tcBorders>
              <w:top w:val="nil"/>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43</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double" w:sz="4" w:space="0" w:color="auto"/>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auto"/>
              <w:left w:val="single" w:sz="4" w:space="0" w:color="000000"/>
              <w:bottom w:val="double" w:sz="4" w:space="0" w:color="auto"/>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val="restart"/>
            <w:tcBorders>
              <w:top w:val="double" w:sz="4" w:space="0" w:color="auto"/>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运营绩效指数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1276" w:type="dxa"/>
            <w:vMerge w:val="restart"/>
            <w:tcBorders>
              <w:top w:val="double" w:sz="4" w:space="0" w:color="auto"/>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5</w:t>
            </w:r>
          </w:p>
        </w:tc>
        <w:tc>
          <w:tcPr>
            <w:tcW w:w="3686"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存货周转率</w:t>
            </w:r>
          </w:p>
        </w:tc>
        <w:tc>
          <w:tcPr>
            <w:tcW w:w="1755"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51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流动资产周转率</w:t>
            </w:r>
          </w:p>
        </w:tc>
        <w:tc>
          <w:tcPr>
            <w:tcW w:w="1755"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52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总资产周转率</w:t>
            </w:r>
          </w:p>
        </w:tc>
        <w:tc>
          <w:tcPr>
            <w:tcW w:w="1755"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53</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double" w:sz="4" w:space="0" w:color="auto"/>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auto"/>
              <w:left w:val="single" w:sz="4" w:space="0" w:color="000000"/>
              <w:bottom w:val="double" w:sz="4" w:space="0" w:color="auto"/>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val="restart"/>
            <w:tcBorders>
              <w:top w:val="double" w:sz="4" w:space="0" w:color="auto"/>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创新能力指数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（20%）</w:t>
            </w:r>
          </w:p>
        </w:tc>
        <w:tc>
          <w:tcPr>
            <w:tcW w:w="1276" w:type="dxa"/>
            <w:vMerge w:val="restart"/>
            <w:tcBorders>
              <w:top w:val="double" w:sz="4" w:space="0" w:color="auto"/>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6</w:t>
            </w:r>
          </w:p>
        </w:tc>
        <w:tc>
          <w:tcPr>
            <w:tcW w:w="3686"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经营创新</w:t>
            </w:r>
          </w:p>
        </w:tc>
        <w:tc>
          <w:tcPr>
            <w:tcW w:w="1755"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61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产品创新</w:t>
            </w:r>
          </w:p>
        </w:tc>
        <w:tc>
          <w:tcPr>
            <w:tcW w:w="1755"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62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研发投入占销售收入比</w:t>
            </w:r>
          </w:p>
        </w:tc>
        <w:tc>
          <w:tcPr>
            <w:tcW w:w="1755"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jc w:val="center"/>
              <w:rPr>
                <w:rFonts w:ascii="宋体" w:hAnsi="宋体" w:cs="宋体" w:hint="eastAsia"/>
                <w:szCs w:val="21"/>
              </w:rPr>
            </w:pPr>
            <w:r>
              <w:rPr>
                <w:rFonts w:ascii="宋体" w:hAnsi="宋体" w:cs="宋体" w:hint="eastAsia"/>
                <w:kern w:val="0"/>
                <w:szCs w:val="21"/>
              </w:rPr>
              <w:t>w</w:t>
            </w:r>
            <w:r>
              <w:rPr>
                <w:rFonts w:ascii="宋体" w:hAnsi="宋体" w:cs="宋体" w:hint="eastAsia"/>
                <w:kern w:val="0"/>
                <w:szCs w:val="21"/>
                <w:vertAlign w:val="subscript"/>
              </w:rPr>
              <w:t>63</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double" w:sz="4" w:space="0" w:color="auto"/>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auto"/>
              <w:left w:val="single" w:sz="4" w:space="0" w:color="000000"/>
              <w:bottom w:val="double" w:sz="4" w:space="0" w:color="auto"/>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val="restart"/>
            <w:tcBorders>
              <w:top w:val="double" w:sz="4" w:space="0" w:color="auto"/>
              <w:left w:val="single" w:sz="4" w:space="0" w:color="000000"/>
              <w:right w:val="single" w:sz="4" w:space="0" w:color="000000"/>
            </w:tcBorders>
            <w:shd w:val="clear" w:color="auto" w:fill="FFFFFF"/>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社会责任指数</w:t>
            </w:r>
          </w:p>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1276" w:type="dxa"/>
            <w:vMerge w:val="restart"/>
            <w:tcBorders>
              <w:top w:val="double" w:sz="4" w:space="0" w:color="auto"/>
              <w:left w:val="single" w:sz="4" w:space="0" w:color="000000"/>
              <w:right w:val="single" w:sz="4" w:space="0" w:color="000000"/>
            </w:tcBorders>
            <w:shd w:val="clear" w:color="auto" w:fill="FFFFFF"/>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7</w:t>
            </w:r>
          </w:p>
        </w:tc>
        <w:tc>
          <w:tcPr>
            <w:tcW w:w="3686"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纳税额</w:t>
            </w:r>
          </w:p>
        </w:tc>
        <w:tc>
          <w:tcPr>
            <w:tcW w:w="1755" w:type="dxa"/>
            <w:tcBorders>
              <w:top w:val="doub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71</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right w:val="single" w:sz="4" w:space="0" w:color="000000"/>
            </w:tcBorders>
            <w:shd w:val="clear" w:color="auto" w:fill="FFFFFF"/>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right w:val="single" w:sz="4" w:space="0" w:color="000000"/>
            </w:tcBorders>
            <w:shd w:val="clear" w:color="auto" w:fill="FFFFFF"/>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公益慈善捐赠</w:t>
            </w:r>
          </w:p>
        </w:tc>
        <w:tc>
          <w:tcPr>
            <w:tcW w:w="1755" w:type="dxa"/>
            <w:tcBorders>
              <w:top w:val="single" w:sz="4" w:space="0" w:color="auto"/>
              <w:left w:val="single" w:sz="4" w:space="0" w:color="000000"/>
              <w:bottom w:val="single" w:sz="4" w:space="0" w:color="auto"/>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w:t>
            </w:r>
            <w:r>
              <w:rPr>
                <w:rFonts w:ascii="宋体" w:hAnsi="宋体" w:cs="宋体" w:hint="eastAsia"/>
                <w:kern w:val="0"/>
                <w:szCs w:val="21"/>
                <w:vertAlign w:val="subscript"/>
              </w:rPr>
              <w:t>72</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vMerge/>
            <w:tcBorders>
              <w:left w:val="single" w:sz="4" w:space="0" w:color="000000"/>
              <w:bottom w:val="single" w:sz="4" w:space="0" w:color="000000"/>
              <w:right w:val="single" w:sz="4" w:space="0" w:color="000000"/>
            </w:tcBorders>
            <w:shd w:val="clear" w:color="auto" w:fill="FFFFFF"/>
            <w:vAlign w:val="center"/>
          </w:tcPr>
          <w:p w:rsidR="00803510" w:rsidRDefault="00803510" w:rsidP="000927A4">
            <w:pPr>
              <w:widowControl/>
              <w:spacing w:line="240" w:lineRule="atLeast"/>
              <w:jc w:val="center"/>
              <w:rPr>
                <w:rFonts w:ascii="宋体" w:hAnsi="宋体" w:cs="宋体" w:hint="eastAsia"/>
                <w:kern w:val="0"/>
                <w:szCs w:val="21"/>
              </w:rPr>
            </w:pPr>
          </w:p>
        </w:tc>
        <w:tc>
          <w:tcPr>
            <w:tcW w:w="1276" w:type="dxa"/>
            <w:vMerge/>
            <w:tcBorders>
              <w:left w:val="single" w:sz="4" w:space="0" w:color="000000"/>
              <w:bottom w:val="single" w:sz="4" w:space="0" w:color="000000"/>
              <w:right w:val="single" w:sz="4" w:space="0" w:color="000000"/>
            </w:tcBorders>
            <w:shd w:val="clear" w:color="auto" w:fill="FFFFFF"/>
            <w:vAlign w:val="center"/>
          </w:tcPr>
          <w:p w:rsidR="00803510" w:rsidRDefault="00803510" w:rsidP="000927A4">
            <w:pPr>
              <w:widowControl/>
              <w:spacing w:line="240" w:lineRule="atLeast"/>
              <w:jc w:val="center"/>
              <w:rPr>
                <w:rFonts w:ascii="宋体" w:hAnsi="宋体" w:cs="宋体" w:hint="eastAsia"/>
                <w:kern w:val="0"/>
                <w:szCs w:val="21"/>
              </w:rPr>
            </w:pPr>
          </w:p>
        </w:tc>
        <w:tc>
          <w:tcPr>
            <w:tcW w:w="3686" w:type="dxa"/>
            <w:tcBorders>
              <w:top w:val="single" w:sz="4" w:space="0" w:color="auto"/>
              <w:left w:val="single" w:sz="4" w:space="0" w:color="000000"/>
              <w:bottom w:val="single" w:sz="4" w:space="0" w:color="000000"/>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single" w:sz="4" w:space="0" w:color="auto"/>
              <w:left w:val="single" w:sz="4" w:space="0" w:color="000000"/>
              <w:bottom w:val="single" w:sz="4" w:space="0" w:color="000000"/>
              <w:right w:val="single" w:sz="4" w:space="0" w:color="000000"/>
            </w:tcBorders>
            <w:shd w:val="clear" w:color="auto" w:fill="B8CCE4"/>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r>
      <w:tr w:rsidR="00803510" w:rsidTr="000927A4">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rsidR="00803510" w:rsidRDefault="00803510" w:rsidP="000927A4">
            <w:pPr>
              <w:widowControl/>
              <w:spacing w:line="240" w:lineRule="atLeast"/>
              <w:jc w:val="center"/>
              <w:rPr>
                <w:rFonts w:ascii="宋体" w:hAnsi="宋体" w:cs="宋体" w:hint="eastAsia"/>
                <w:kern w:val="0"/>
                <w:szCs w:val="21"/>
              </w:rPr>
            </w:pPr>
          </w:p>
        </w:tc>
        <w:tc>
          <w:tcPr>
            <w:tcW w:w="1275" w:type="dxa"/>
            <w:tcBorders>
              <w:top w:val="double" w:sz="4" w:space="0" w:color="auto"/>
              <w:left w:val="single" w:sz="4" w:space="0" w:color="000000"/>
              <w:bottom w:val="single" w:sz="4" w:space="0" w:color="000000"/>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276" w:type="dxa"/>
            <w:tcBorders>
              <w:top w:val="double" w:sz="4" w:space="0" w:color="auto"/>
              <w:left w:val="single" w:sz="4" w:space="0" w:color="000000"/>
              <w:bottom w:val="single" w:sz="4" w:space="0" w:color="000000"/>
              <w:right w:val="single" w:sz="4" w:space="0" w:color="000000"/>
            </w:tcBorders>
            <w:shd w:val="clear" w:color="auto" w:fill="C6D9F1"/>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100%</w:t>
            </w:r>
          </w:p>
        </w:tc>
        <w:tc>
          <w:tcPr>
            <w:tcW w:w="3686"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c>
          <w:tcPr>
            <w:tcW w:w="1755" w:type="dxa"/>
            <w:tcBorders>
              <w:top w:val="double" w:sz="4" w:space="0" w:color="auto"/>
              <w:left w:val="single" w:sz="4" w:space="0" w:color="000000"/>
              <w:bottom w:val="single" w:sz="4" w:space="0" w:color="000000"/>
              <w:right w:val="single" w:sz="4" w:space="0" w:color="000000"/>
            </w:tcBorders>
            <w:vAlign w:val="center"/>
          </w:tcPr>
          <w:p w:rsidR="00803510" w:rsidRDefault="00803510" w:rsidP="000927A4">
            <w:pPr>
              <w:widowControl/>
              <w:spacing w:line="240" w:lineRule="atLeast"/>
              <w:jc w:val="center"/>
              <w:rPr>
                <w:rFonts w:ascii="宋体" w:hAnsi="宋体" w:cs="宋体" w:hint="eastAsia"/>
                <w:kern w:val="0"/>
                <w:szCs w:val="21"/>
              </w:rPr>
            </w:pPr>
            <w:r>
              <w:rPr>
                <w:rFonts w:ascii="宋体" w:hAnsi="宋体" w:cs="宋体" w:hint="eastAsia"/>
                <w:kern w:val="0"/>
                <w:szCs w:val="21"/>
              </w:rPr>
              <w:t>——</w:t>
            </w:r>
          </w:p>
        </w:tc>
      </w:tr>
    </w:tbl>
    <w:p w:rsidR="00803510" w:rsidRDefault="00803510" w:rsidP="00803510">
      <w:pPr>
        <w:widowControl/>
        <w:spacing w:afterLines="50"/>
        <w:jc w:val="center"/>
        <w:rPr>
          <w:rFonts w:ascii="宋体" w:hAnsi="宋体" w:cs="宋体" w:hint="eastAsia"/>
          <w:sz w:val="24"/>
        </w:rPr>
      </w:pPr>
    </w:p>
    <w:p w:rsidR="00803510" w:rsidRDefault="00803510" w:rsidP="00803510">
      <w:pPr>
        <w:widowControl/>
        <w:spacing w:afterLines="50" w:line="240" w:lineRule="atLeast"/>
        <w:jc w:val="center"/>
        <w:rPr>
          <w:rFonts w:ascii="宋体" w:hAnsi="宋体" w:cs="宋体" w:hint="eastAsia"/>
          <w:sz w:val="24"/>
        </w:rPr>
      </w:pPr>
      <w:r>
        <w:rPr>
          <w:rFonts w:ascii="宋体" w:hAnsi="宋体" w:cs="宋体" w:hint="eastAsia"/>
          <w:sz w:val="24"/>
        </w:rPr>
        <w:t>企业消费者评价指标体系（20%）</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4213"/>
        <w:gridCol w:w="2205"/>
      </w:tblGrid>
      <w:tr w:rsidR="00803510" w:rsidTr="000927A4">
        <w:tc>
          <w:tcPr>
            <w:tcW w:w="1384" w:type="dxa"/>
          </w:tcPr>
          <w:p w:rsidR="00803510" w:rsidRDefault="00803510" w:rsidP="000927A4">
            <w:pPr>
              <w:rPr>
                <w:rFonts w:ascii="宋体" w:hAnsi="宋体" w:cs="宋体" w:hint="eastAsia"/>
              </w:rPr>
            </w:pPr>
            <w:r>
              <w:rPr>
                <w:rFonts w:ascii="宋体" w:hAnsi="宋体" w:cs="宋体" w:hint="eastAsia"/>
              </w:rPr>
              <w:t>目标层</w:t>
            </w:r>
          </w:p>
        </w:tc>
        <w:tc>
          <w:tcPr>
            <w:tcW w:w="1276" w:type="dxa"/>
          </w:tcPr>
          <w:p w:rsidR="00803510" w:rsidRDefault="00803510" w:rsidP="000927A4">
            <w:pPr>
              <w:rPr>
                <w:rFonts w:ascii="宋体" w:hAnsi="宋体" w:cs="宋体" w:hint="eastAsia"/>
              </w:rPr>
            </w:pPr>
            <w:r>
              <w:rPr>
                <w:rFonts w:ascii="宋体" w:hAnsi="宋体" w:cs="宋体" w:hint="eastAsia"/>
              </w:rPr>
              <w:t>要素层</w:t>
            </w:r>
          </w:p>
        </w:tc>
        <w:tc>
          <w:tcPr>
            <w:tcW w:w="4213" w:type="dxa"/>
          </w:tcPr>
          <w:p w:rsidR="00803510" w:rsidRDefault="00803510" w:rsidP="000927A4">
            <w:pPr>
              <w:rPr>
                <w:rFonts w:ascii="宋体" w:hAnsi="宋体" w:cs="宋体" w:hint="eastAsia"/>
              </w:rPr>
            </w:pPr>
            <w:r>
              <w:rPr>
                <w:rFonts w:ascii="宋体" w:hAnsi="宋体" w:cs="宋体" w:hint="eastAsia"/>
              </w:rPr>
              <w:t xml:space="preserve">                指 标 层</w:t>
            </w:r>
          </w:p>
        </w:tc>
        <w:tc>
          <w:tcPr>
            <w:tcW w:w="2205" w:type="dxa"/>
          </w:tcPr>
          <w:p w:rsidR="00803510" w:rsidRDefault="00803510" w:rsidP="000927A4">
            <w:pPr>
              <w:rPr>
                <w:rFonts w:ascii="宋体" w:hAnsi="宋体" w:cs="宋体" w:hint="eastAsia"/>
              </w:rPr>
            </w:pPr>
            <w:r>
              <w:rPr>
                <w:rFonts w:ascii="宋体" w:hAnsi="宋体" w:cs="宋体" w:hint="eastAsia"/>
              </w:rPr>
              <w:t>指标权重</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858"/>
        <w:gridCol w:w="2355"/>
        <w:gridCol w:w="2205"/>
      </w:tblGrid>
      <w:tr w:rsidR="00803510" w:rsidTr="000927A4">
        <w:tc>
          <w:tcPr>
            <w:tcW w:w="1384" w:type="dxa"/>
          </w:tcPr>
          <w:p w:rsidR="00803510" w:rsidRDefault="00803510" w:rsidP="000927A4">
            <w:pPr>
              <w:rPr>
                <w:rFonts w:ascii="宋体" w:hAnsi="宋体" w:cs="宋体" w:hint="eastAsia"/>
              </w:rPr>
            </w:pPr>
          </w:p>
        </w:tc>
        <w:tc>
          <w:tcPr>
            <w:tcW w:w="1276" w:type="dxa"/>
          </w:tcPr>
          <w:p w:rsidR="00803510" w:rsidRDefault="00803510" w:rsidP="000927A4">
            <w:pPr>
              <w:rPr>
                <w:rFonts w:ascii="宋体" w:hAnsi="宋体" w:cs="宋体" w:hint="eastAsia"/>
              </w:rPr>
            </w:pPr>
          </w:p>
        </w:tc>
        <w:tc>
          <w:tcPr>
            <w:tcW w:w="1858" w:type="dxa"/>
          </w:tcPr>
          <w:p w:rsidR="00803510" w:rsidRDefault="00803510" w:rsidP="000927A4">
            <w:pPr>
              <w:rPr>
                <w:rFonts w:ascii="宋体" w:hAnsi="宋体" w:cs="宋体" w:hint="eastAsia"/>
              </w:rPr>
            </w:pPr>
            <w:r>
              <w:rPr>
                <w:rFonts w:ascii="宋体" w:hAnsi="宋体" w:cs="宋体" w:hint="eastAsia"/>
              </w:rPr>
              <w:t xml:space="preserve"> 百度数据</w:t>
            </w:r>
          </w:p>
        </w:tc>
        <w:tc>
          <w:tcPr>
            <w:tcW w:w="2355" w:type="dxa"/>
          </w:tcPr>
          <w:p w:rsidR="00803510" w:rsidRDefault="00803510" w:rsidP="000927A4">
            <w:pPr>
              <w:rPr>
                <w:rFonts w:ascii="宋体" w:hAnsi="宋体" w:cs="宋体" w:hint="eastAsia"/>
              </w:rPr>
            </w:pPr>
            <w:r>
              <w:rPr>
                <w:rFonts w:ascii="宋体" w:hAnsi="宋体" w:cs="宋体" w:hint="eastAsia"/>
              </w:rPr>
              <w:t xml:space="preserve"> 网站数据</w:t>
            </w:r>
          </w:p>
        </w:tc>
        <w:tc>
          <w:tcPr>
            <w:tcW w:w="2205" w:type="dxa"/>
          </w:tcPr>
          <w:p w:rsidR="00803510" w:rsidRDefault="00803510" w:rsidP="000927A4">
            <w:pPr>
              <w:rPr>
                <w:rFonts w:ascii="宋体" w:hAnsi="宋体" w:cs="宋体" w:hint="eastAsia"/>
              </w:rPr>
            </w:pPr>
            <w:r>
              <w:rPr>
                <w:rFonts w:ascii="宋体" w:hAnsi="宋体" w:cs="宋体" w:hint="eastAsia"/>
                <w:kern w:val="0"/>
                <w:sz w:val="24"/>
              </w:rPr>
              <w:t>∑    100%</w:t>
            </w:r>
          </w:p>
        </w:tc>
      </w:tr>
      <w:tr w:rsidR="00803510" w:rsidTr="000927A4">
        <w:tc>
          <w:tcPr>
            <w:tcW w:w="1384" w:type="dxa"/>
          </w:tcPr>
          <w:p w:rsidR="00803510" w:rsidRDefault="00803510" w:rsidP="000927A4">
            <w:pPr>
              <w:rPr>
                <w:rFonts w:ascii="宋体" w:hAnsi="宋体" w:cs="宋体" w:hint="eastAsia"/>
              </w:rPr>
            </w:pPr>
            <w:r>
              <w:rPr>
                <w:rFonts w:ascii="宋体" w:hAnsi="宋体" w:cs="宋体" w:hint="eastAsia"/>
              </w:rPr>
              <w:t>品牌认知</w:t>
            </w:r>
          </w:p>
          <w:p w:rsidR="00803510" w:rsidRDefault="00803510" w:rsidP="000927A4">
            <w:pPr>
              <w:rPr>
                <w:rFonts w:ascii="宋体" w:hAnsi="宋体" w:cs="宋体" w:hint="eastAsia"/>
              </w:rPr>
            </w:pPr>
            <w:r>
              <w:rPr>
                <w:rFonts w:ascii="宋体" w:hAnsi="宋体" w:cs="宋体" w:hint="eastAsia"/>
              </w:rPr>
              <w:t>指标（50%）</w:t>
            </w:r>
          </w:p>
        </w:tc>
        <w:tc>
          <w:tcPr>
            <w:tcW w:w="1276" w:type="dxa"/>
          </w:tcPr>
          <w:p w:rsidR="00803510" w:rsidRDefault="00803510" w:rsidP="000927A4">
            <w:pPr>
              <w:rPr>
                <w:rFonts w:ascii="宋体" w:hAnsi="宋体" w:cs="宋体" w:hint="eastAsia"/>
              </w:rPr>
            </w:pPr>
            <w:r>
              <w:rPr>
                <w:rFonts w:ascii="宋体" w:hAnsi="宋体" w:cs="宋体" w:hint="eastAsia"/>
              </w:rPr>
              <w:t>品牌认知率</w:t>
            </w:r>
          </w:p>
        </w:tc>
        <w:tc>
          <w:tcPr>
            <w:tcW w:w="1858" w:type="dxa"/>
          </w:tcPr>
          <w:p w:rsidR="00803510" w:rsidRDefault="00803510" w:rsidP="000927A4">
            <w:pPr>
              <w:rPr>
                <w:rFonts w:ascii="宋体" w:hAnsi="宋体" w:cs="宋体" w:hint="eastAsia"/>
              </w:rPr>
            </w:pPr>
          </w:p>
        </w:tc>
        <w:tc>
          <w:tcPr>
            <w:tcW w:w="2355" w:type="dxa"/>
          </w:tcPr>
          <w:p w:rsidR="00803510" w:rsidRDefault="00803510" w:rsidP="000927A4">
            <w:pPr>
              <w:rPr>
                <w:rFonts w:ascii="宋体" w:hAnsi="宋体" w:cs="宋体" w:hint="eastAsia"/>
              </w:rPr>
            </w:pPr>
          </w:p>
        </w:tc>
        <w:tc>
          <w:tcPr>
            <w:tcW w:w="2205" w:type="dxa"/>
          </w:tcPr>
          <w:p w:rsidR="00803510" w:rsidRDefault="00803510" w:rsidP="000927A4">
            <w:pPr>
              <w:jc w:val="center"/>
              <w:rPr>
                <w:rFonts w:ascii="宋体" w:hAnsi="宋体" w:cs="宋体" w:hint="eastAsia"/>
              </w:rPr>
            </w:pPr>
            <w:r>
              <w:rPr>
                <w:rFonts w:ascii="宋体" w:hAnsi="宋体" w:cs="宋体" w:hint="eastAsia"/>
                <w:kern w:val="0"/>
                <w:sz w:val="24"/>
              </w:rPr>
              <w:t>w</w:t>
            </w:r>
            <w:r>
              <w:rPr>
                <w:rFonts w:ascii="宋体" w:hAnsi="宋体" w:cs="宋体" w:hint="eastAsia"/>
                <w:kern w:val="0"/>
                <w:sz w:val="24"/>
                <w:vertAlign w:val="subscript"/>
              </w:rPr>
              <w:t>11</w:t>
            </w:r>
          </w:p>
        </w:tc>
      </w:tr>
      <w:tr w:rsidR="00803510" w:rsidTr="000927A4">
        <w:tc>
          <w:tcPr>
            <w:tcW w:w="1384" w:type="dxa"/>
          </w:tcPr>
          <w:p w:rsidR="00803510" w:rsidRDefault="00803510" w:rsidP="000927A4">
            <w:pPr>
              <w:rPr>
                <w:rFonts w:ascii="宋体" w:hAnsi="宋体" w:cs="宋体" w:hint="eastAsia"/>
              </w:rPr>
            </w:pPr>
            <w:r>
              <w:rPr>
                <w:rFonts w:ascii="宋体" w:hAnsi="宋体" w:cs="宋体" w:hint="eastAsia"/>
              </w:rPr>
              <w:t>品牌口碑</w:t>
            </w:r>
          </w:p>
          <w:p w:rsidR="00803510" w:rsidRDefault="00803510" w:rsidP="000927A4">
            <w:pPr>
              <w:rPr>
                <w:rFonts w:ascii="宋体" w:hAnsi="宋体" w:cs="宋体" w:hint="eastAsia"/>
              </w:rPr>
            </w:pPr>
            <w:r>
              <w:rPr>
                <w:rFonts w:ascii="宋体" w:hAnsi="宋体" w:cs="宋体" w:hint="eastAsia"/>
              </w:rPr>
              <w:t>指标（50%）</w:t>
            </w:r>
          </w:p>
        </w:tc>
        <w:tc>
          <w:tcPr>
            <w:tcW w:w="1276" w:type="dxa"/>
          </w:tcPr>
          <w:p w:rsidR="00803510" w:rsidRDefault="00803510" w:rsidP="000927A4">
            <w:pPr>
              <w:rPr>
                <w:rFonts w:ascii="宋体" w:hAnsi="宋体" w:cs="宋体" w:hint="eastAsia"/>
              </w:rPr>
            </w:pPr>
            <w:r>
              <w:rPr>
                <w:rFonts w:ascii="宋体" w:hAnsi="宋体" w:cs="宋体" w:hint="eastAsia"/>
              </w:rPr>
              <w:t>品牌喜爱度</w:t>
            </w:r>
          </w:p>
        </w:tc>
        <w:tc>
          <w:tcPr>
            <w:tcW w:w="1858" w:type="dxa"/>
          </w:tcPr>
          <w:p w:rsidR="00803510" w:rsidRDefault="00803510" w:rsidP="000927A4">
            <w:pPr>
              <w:rPr>
                <w:rFonts w:ascii="宋体" w:hAnsi="宋体" w:cs="宋体" w:hint="eastAsia"/>
              </w:rPr>
            </w:pPr>
          </w:p>
        </w:tc>
        <w:tc>
          <w:tcPr>
            <w:tcW w:w="2355" w:type="dxa"/>
          </w:tcPr>
          <w:p w:rsidR="00803510" w:rsidRDefault="00803510" w:rsidP="000927A4">
            <w:pPr>
              <w:rPr>
                <w:rFonts w:ascii="宋体" w:hAnsi="宋体" w:cs="宋体" w:hint="eastAsia"/>
              </w:rPr>
            </w:pPr>
          </w:p>
        </w:tc>
        <w:tc>
          <w:tcPr>
            <w:tcW w:w="2205" w:type="dxa"/>
          </w:tcPr>
          <w:p w:rsidR="00803510" w:rsidRDefault="00803510" w:rsidP="000927A4">
            <w:pPr>
              <w:jc w:val="center"/>
              <w:rPr>
                <w:rFonts w:ascii="宋体" w:hAnsi="宋体" w:cs="宋体" w:hint="eastAsia"/>
              </w:rPr>
            </w:pPr>
            <w:r>
              <w:rPr>
                <w:rFonts w:ascii="宋体" w:hAnsi="宋体" w:cs="宋体" w:hint="eastAsia"/>
                <w:kern w:val="0"/>
                <w:sz w:val="24"/>
              </w:rPr>
              <w:t>w</w:t>
            </w:r>
            <w:r>
              <w:rPr>
                <w:rFonts w:ascii="宋体" w:hAnsi="宋体" w:cs="宋体" w:hint="eastAsia"/>
                <w:kern w:val="0"/>
                <w:sz w:val="24"/>
                <w:vertAlign w:val="subscript"/>
              </w:rPr>
              <w:t>21</w:t>
            </w:r>
          </w:p>
        </w:tc>
      </w:tr>
    </w:tbl>
    <w:p w:rsidR="00803510" w:rsidRDefault="00803510" w:rsidP="00803510">
      <w:pPr>
        <w:tabs>
          <w:tab w:val="left" w:pos="3870"/>
        </w:tabs>
        <w:rPr>
          <w:rFonts w:ascii="宋体" w:hAnsi="宋体" w:cs="宋体" w:hint="eastAsia"/>
        </w:rPr>
      </w:pPr>
      <w:r>
        <w:rPr>
          <w:rFonts w:ascii="宋体" w:hAnsi="宋体" w:cs="宋体"/>
        </w:rPr>
        <w:tab/>
      </w:r>
    </w:p>
    <w:p w:rsidR="00803510" w:rsidRDefault="00803510" w:rsidP="00803510">
      <w:pPr>
        <w:widowControl/>
        <w:spacing w:afterLines="50" w:line="240" w:lineRule="atLeast"/>
        <w:jc w:val="center"/>
        <w:rPr>
          <w:rFonts w:ascii="宋体" w:hAnsi="宋体" w:cs="宋体" w:hint="eastAsia"/>
          <w:sz w:val="24"/>
        </w:rPr>
      </w:pPr>
      <w:r>
        <w:rPr>
          <w:rFonts w:ascii="宋体" w:hAnsi="宋体" w:cs="宋体" w:hint="eastAsia"/>
          <w:sz w:val="24"/>
        </w:rPr>
        <w:t>加分项（10分）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2322"/>
        <w:gridCol w:w="2322"/>
        <w:gridCol w:w="2310"/>
      </w:tblGrid>
      <w:tr w:rsidR="00803510" w:rsidTr="000927A4">
        <w:tc>
          <w:tcPr>
            <w:tcW w:w="2322" w:type="dxa"/>
          </w:tcPr>
          <w:p w:rsidR="00803510" w:rsidRDefault="00803510" w:rsidP="000927A4">
            <w:pPr>
              <w:jc w:val="center"/>
              <w:rPr>
                <w:rFonts w:ascii="宋体" w:hAnsi="宋体" w:cs="宋体" w:hint="eastAsia"/>
              </w:rPr>
            </w:pPr>
            <w:r>
              <w:rPr>
                <w:rFonts w:ascii="宋体" w:hAnsi="宋体" w:cs="宋体" w:hint="eastAsia"/>
              </w:rPr>
              <w:t>指标层</w:t>
            </w:r>
          </w:p>
        </w:tc>
        <w:tc>
          <w:tcPr>
            <w:tcW w:w="2322" w:type="dxa"/>
          </w:tcPr>
          <w:p w:rsidR="00803510" w:rsidRDefault="00803510" w:rsidP="000927A4">
            <w:pPr>
              <w:jc w:val="center"/>
              <w:rPr>
                <w:rFonts w:ascii="宋体" w:hAnsi="宋体" w:cs="宋体" w:hint="eastAsia"/>
              </w:rPr>
            </w:pPr>
            <w:r>
              <w:rPr>
                <w:rFonts w:ascii="宋体" w:hAnsi="宋体" w:cs="宋体" w:hint="eastAsia"/>
              </w:rPr>
              <w:t>是</w:t>
            </w:r>
          </w:p>
        </w:tc>
        <w:tc>
          <w:tcPr>
            <w:tcW w:w="2322" w:type="dxa"/>
          </w:tcPr>
          <w:p w:rsidR="00803510" w:rsidRDefault="00803510" w:rsidP="000927A4">
            <w:pPr>
              <w:jc w:val="center"/>
              <w:rPr>
                <w:rFonts w:ascii="宋体" w:hAnsi="宋体" w:cs="宋体" w:hint="eastAsia"/>
              </w:rPr>
            </w:pPr>
            <w:r>
              <w:rPr>
                <w:rFonts w:ascii="宋体" w:hAnsi="宋体" w:cs="宋体" w:hint="eastAsia"/>
              </w:rPr>
              <w:t>否</w:t>
            </w:r>
          </w:p>
        </w:tc>
        <w:tc>
          <w:tcPr>
            <w:tcW w:w="2310" w:type="dxa"/>
          </w:tcPr>
          <w:p w:rsidR="00803510" w:rsidRDefault="00803510" w:rsidP="000927A4">
            <w:pPr>
              <w:jc w:val="center"/>
              <w:rPr>
                <w:rFonts w:ascii="宋体" w:hAnsi="宋体" w:cs="宋体" w:hint="eastAsia"/>
              </w:rPr>
            </w:pPr>
            <w:r>
              <w:rPr>
                <w:rFonts w:ascii="宋体" w:hAnsi="宋体" w:cs="宋体" w:hint="eastAsia"/>
              </w:rPr>
              <w:t>指标权重</w:t>
            </w:r>
          </w:p>
        </w:tc>
      </w:tr>
      <w:tr w:rsidR="00803510" w:rsidTr="000927A4">
        <w:trPr>
          <w:trHeight w:val="274"/>
        </w:trPr>
        <w:tc>
          <w:tcPr>
            <w:tcW w:w="2322" w:type="dxa"/>
          </w:tcPr>
          <w:p w:rsidR="00803510" w:rsidRDefault="00803510" w:rsidP="000927A4">
            <w:pPr>
              <w:jc w:val="center"/>
              <w:rPr>
                <w:rFonts w:ascii="宋体" w:hAnsi="宋体" w:cs="宋体" w:hint="eastAsia"/>
              </w:rPr>
            </w:pPr>
            <w:r>
              <w:rPr>
                <w:rFonts w:ascii="宋体" w:hAnsi="宋体" w:cs="宋体" w:hint="eastAsia"/>
              </w:rPr>
              <w:t>供应商信用评价</w:t>
            </w:r>
          </w:p>
        </w:tc>
        <w:tc>
          <w:tcPr>
            <w:tcW w:w="2322" w:type="dxa"/>
          </w:tcPr>
          <w:p w:rsidR="00803510" w:rsidRDefault="00803510" w:rsidP="000927A4">
            <w:pPr>
              <w:jc w:val="center"/>
              <w:rPr>
                <w:rFonts w:ascii="宋体" w:hAnsi="宋体" w:cs="宋体" w:hint="eastAsia"/>
              </w:rPr>
            </w:pPr>
          </w:p>
        </w:tc>
        <w:tc>
          <w:tcPr>
            <w:tcW w:w="2322" w:type="dxa"/>
          </w:tcPr>
          <w:p w:rsidR="00803510" w:rsidRDefault="00803510" w:rsidP="000927A4">
            <w:pPr>
              <w:jc w:val="center"/>
              <w:rPr>
                <w:rFonts w:ascii="宋体" w:hAnsi="宋体" w:cs="宋体" w:hint="eastAsia"/>
              </w:rPr>
            </w:pPr>
          </w:p>
        </w:tc>
        <w:tc>
          <w:tcPr>
            <w:tcW w:w="2310" w:type="dxa"/>
          </w:tcPr>
          <w:p w:rsidR="00803510" w:rsidRDefault="00803510" w:rsidP="000927A4">
            <w:pPr>
              <w:jc w:val="center"/>
              <w:rPr>
                <w:rFonts w:ascii="宋体" w:hAnsi="宋体" w:cs="宋体" w:hint="eastAsia"/>
              </w:rPr>
            </w:pPr>
            <w:r>
              <w:rPr>
                <w:rFonts w:ascii="宋体" w:hAnsi="宋体" w:cs="宋体" w:hint="eastAsia"/>
              </w:rPr>
              <w:t>10分</w:t>
            </w:r>
          </w:p>
        </w:tc>
      </w:tr>
    </w:tbl>
    <w:p w:rsidR="00803510" w:rsidRDefault="00803510" w:rsidP="00803510">
      <w:pPr>
        <w:snapToGrid w:val="0"/>
        <w:spacing w:line="312" w:lineRule="auto"/>
        <w:rPr>
          <w:rFonts w:ascii="宋体" w:hAnsi="宋体" w:cs="宋体" w:hint="eastAsia"/>
          <w:b/>
          <w:color w:val="000000"/>
          <w:kern w:val="0"/>
          <w:sz w:val="28"/>
          <w:szCs w:val="28"/>
        </w:rPr>
      </w:pPr>
    </w:p>
    <w:p w:rsidR="00F87FB7" w:rsidRPr="00803510" w:rsidRDefault="00F87FB7" w:rsidP="00803510"/>
    <w:sectPr w:rsidR="00F87FB7" w:rsidRPr="00803510" w:rsidSect="00B539E5">
      <w:pgSz w:w="11906" w:h="16838"/>
      <w:pgMar w:top="1871" w:right="1247" w:bottom="187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705"/>
    <w:multiLevelType w:val="singleLevel"/>
    <w:tmpl w:val="54CC670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7FB7"/>
    <w:rsid w:val="00122335"/>
    <w:rsid w:val="001C2220"/>
    <w:rsid w:val="0032369F"/>
    <w:rsid w:val="00410640"/>
    <w:rsid w:val="006B22EE"/>
    <w:rsid w:val="00803510"/>
    <w:rsid w:val="009A3A3C"/>
    <w:rsid w:val="00B539E5"/>
    <w:rsid w:val="00E46436"/>
    <w:rsid w:val="00F87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B7"/>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2015-12-11T06:14:00Z</dcterms:created>
  <dcterms:modified xsi:type="dcterms:W3CDTF">2015-12-11T06:14:00Z</dcterms:modified>
</cp:coreProperties>
</file>