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AE7" w:rsidRPr="00753A1E" w:rsidRDefault="00EE1AE7" w:rsidP="00EE1AE7">
      <w:pPr>
        <w:pStyle w:val="NormalWeb"/>
        <w:snapToGrid w:val="0"/>
        <w:spacing w:before="0" w:beforeAutospacing="0" w:after="0" w:afterAutospacing="0"/>
        <w:ind w:rightChars="-30" w:right="31680"/>
        <w:jc w:val="both"/>
        <w:rPr>
          <w:rFonts w:ascii="黑体" w:eastAsia="黑体" w:cs="Times New Roman"/>
          <w:kern w:val="2"/>
          <w:sz w:val="32"/>
          <w:szCs w:val="32"/>
        </w:rPr>
      </w:pPr>
      <w:r w:rsidRPr="00753A1E">
        <w:rPr>
          <w:rFonts w:ascii="黑体" w:eastAsia="黑体" w:cs="黑体" w:hint="eastAsia"/>
          <w:kern w:val="2"/>
          <w:sz w:val="32"/>
          <w:szCs w:val="32"/>
        </w:rPr>
        <w:t>附件</w:t>
      </w:r>
      <w:r w:rsidRPr="00753A1E">
        <w:rPr>
          <w:rFonts w:ascii="黑体" w:eastAsia="黑体" w:cs="黑体"/>
          <w:kern w:val="2"/>
          <w:sz w:val="32"/>
          <w:szCs w:val="32"/>
        </w:rPr>
        <w:t>1</w:t>
      </w:r>
      <w:r w:rsidRPr="00753A1E">
        <w:rPr>
          <w:rFonts w:ascii="黑体" w:eastAsia="黑体" w:cs="黑体" w:hint="eastAsia"/>
          <w:kern w:val="2"/>
          <w:sz w:val="32"/>
          <w:szCs w:val="32"/>
        </w:rPr>
        <w:t>：</w:t>
      </w:r>
    </w:p>
    <w:p w:rsidR="00EE1AE7" w:rsidRPr="00753A1E" w:rsidRDefault="00EE1AE7" w:rsidP="00753A1E">
      <w:pPr>
        <w:jc w:val="center"/>
        <w:rPr>
          <w:rFonts w:ascii="方正小标宋简体" w:eastAsia="方正小标宋简体"/>
          <w:sz w:val="38"/>
          <w:szCs w:val="38"/>
        </w:rPr>
      </w:pPr>
      <w:r w:rsidRPr="00753A1E">
        <w:rPr>
          <w:rFonts w:ascii="方正小标宋简体" w:eastAsia="方正小标宋简体" w:cs="方正小标宋简体"/>
          <w:sz w:val="38"/>
          <w:szCs w:val="38"/>
        </w:rPr>
        <w:t>2014</w:t>
      </w:r>
      <w:r w:rsidRPr="00753A1E">
        <w:rPr>
          <w:rFonts w:ascii="方正小标宋简体" w:eastAsia="方正小标宋简体" w:cs="方正小标宋简体" w:hint="eastAsia"/>
          <w:sz w:val="38"/>
          <w:szCs w:val="38"/>
        </w:rPr>
        <w:t>年“中国厨卫百强”企业</w:t>
      </w:r>
    </w:p>
    <w:p w:rsidR="00EE1AE7" w:rsidRPr="00753A1E" w:rsidRDefault="00EE1AE7" w:rsidP="00753A1E">
      <w:pPr>
        <w:jc w:val="center"/>
        <w:rPr>
          <w:rFonts w:ascii="方正小标宋简体" w:eastAsia="方正小标宋简体"/>
          <w:sz w:val="38"/>
          <w:szCs w:val="38"/>
        </w:rPr>
      </w:pPr>
      <w:r w:rsidRPr="00753A1E">
        <w:rPr>
          <w:rFonts w:ascii="方正小标宋简体" w:eastAsia="方正小标宋简体" w:cs="方正小标宋简体" w:hint="eastAsia"/>
          <w:sz w:val="38"/>
          <w:szCs w:val="38"/>
        </w:rPr>
        <w:t>评价推介活动评价方法</w:t>
      </w:r>
    </w:p>
    <w:p w:rsidR="00EE1AE7" w:rsidRPr="008766DC" w:rsidRDefault="00EE1AE7" w:rsidP="00A03CEE">
      <w:pPr>
        <w:spacing w:line="500" w:lineRule="exact"/>
        <w:jc w:val="center"/>
        <w:rPr>
          <w:rFonts w:ascii="长城小标宋体" w:eastAsia="长城小标宋体" w:hAnsi="黑体"/>
          <w:b/>
          <w:bCs/>
          <w:sz w:val="36"/>
          <w:szCs w:val="36"/>
        </w:rPr>
      </w:pPr>
    </w:p>
    <w:p w:rsidR="00EE1AE7" w:rsidRPr="00753A1E" w:rsidRDefault="00EE1AE7" w:rsidP="005A08DE">
      <w:pPr>
        <w:snapToGrid w:val="0"/>
        <w:spacing w:line="360" w:lineRule="auto"/>
        <w:ind w:rightChars="-30" w:right="31680" w:firstLineChars="196" w:firstLine="31680"/>
        <w:jc w:val="left"/>
        <w:rPr>
          <w:rFonts w:ascii="仿宋_GB2312" w:eastAsia="仿宋_GB2312" w:hAnsi="宋体"/>
          <w:b/>
          <w:bCs/>
          <w:color w:val="000000"/>
          <w:sz w:val="32"/>
          <w:szCs w:val="32"/>
        </w:rPr>
      </w:pPr>
      <w:r w:rsidRPr="00753A1E">
        <w:rPr>
          <w:rFonts w:ascii="仿宋_GB2312" w:eastAsia="仿宋_GB2312" w:hAnsi="宋体" w:cs="仿宋_GB2312" w:hint="eastAsia"/>
          <w:b/>
          <w:bCs/>
          <w:color w:val="000000"/>
          <w:sz w:val="32"/>
          <w:szCs w:val="32"/>
        </w:rPr>
        <w:t>一、评价指标体系</w:t>
      </w:r>
    </w:p>
    <w:p w:rsidR="00EE1AE7" w:rsidRPr="00753A1E" w:rsidRDefault="00EE1AE7" w:rsidP="005A08DE">
      <w:pPr>
        <w:snapToGrid w:val="0"/>
        <w:spacing w:line="360" w:lineRule="auto"/>
        <w:ind w:rightChars="-30" w:right="31680" w:firstLineChars="200" w:firstLine="31680"/>
        <w:jc w:val="left"/>
        <w:rPr>
          <w:rFonts w:ascii="仿宋_GB2312" w:eastAsia="仿宋_GB2312" w:hAnsi="宋体"/>
          <w:color w:val="000000"/>
          <w:sz w:val="32"/>
          <w:szCs w:val="32"/>
        </w:rPr>
      </w:pPr>
      <w:r w:rsidRPr="00753A1E">
        <w:rPr>
          <w:rFonts w:ascii="仿宋_GB2312" w:eastAsia="仿宋_GB2312" w:hAnsi="宋体" w:cs="仿宋_GB2312"/>
          <w:color w:val="000000"/>
          <w:sz w:val="32"/>
          <w:szCs w:val="32"/>
        </w:rPr>
        <w:t>2014</w:t>
      </w:r>
      <w:r w:rsidRPr="00753A1E">
        <w:rPr>
          <w:rFonts w:ascii="仿宋_GB2312" w:eastAsia="仿宋_GB2312" w:hAnsi="宋体" w:cs="仿宋_GB2312" w:hint="eastAsia"/>
          <w:color w:val="000000"/>
          <w:sz w:val="32"/>
          <w:szCs w:val="32"/>
        </w:rPr>
        <w:t>年度第七届“中国厨卫百强”企业评价推介活动品牌研究指标体系由企业指标和消费者指标共同构成。</w:t>
      </w:r>
    </w:p>
    <w:p w:rsidR="00EE1AE7" w:rsidRPr="00753A1E" w:rsidRDefault="00EE1AE7" w:rsidP="005A08DE">
      <w:pPr>
        <w:snapToGrid w:val="0"/>
        <w:spacing w:line="360" w:lineRule="auto"/>
        <w:ind w:rightChars="-30" w:right="31680" w:firstLineChars="200" w:firstLine="31680"/>
        <w:jc w:val="left"/>
        <w:rPr>
          <w:rFonts w:ascii="仿宋_GB2312" w:eastAsia="仿宋_GB2312" w:hAnsi="宋体"/>
          <w:color w:val="000000"/>
          <w:sz w:val="32"/>
          <w:szCs w:val="32"/>
        </w:rPr>
      </w:pPr>
      <w:r w:rsidRPr="00753A1E">
        <w:rPr>
          <w:rFonts w:ascii="仿宋_GB2312" w:eastAsia="仿宋_GB2312" w:hAnsi="宋体" w:cs="仿宋_GB2312" w:hint="eastAsia"/>
          <w:color w:val="000000"/>
          <w:sz w:val="32"/>
          <w:szCs w:val="32"/>
        </w:rPr>
        <w:t>企业指标由规模性、盈利性、成长性、营销渠道、技术创新、社会责任、工程配套七个三级指标以及隶属其下的</w:t>
      </w:r>
      <w:r w:rsidRPr="00753A1E">
        <w:rPr>
          <w:rFonts w:ascii="仿宋_GB2312" w:eastAsia="仿宋_GB2312" w:hAnsi="宋体" w:cs="仿宋_GB2312"/>
          <w:color w:val="000000"/>
          <w:sz w:val="32"/>
          <w:szCs w:val="32"/>
        </w:rPr>
        <w:t>20</w:t>
      </w:r>
      <w:r w:rsidRPr="00753A1E">
        <w:rPr>
          <w:rFonts w:ascii="仿宋_GB2312" w:eastAsia="仿宋_GB2312" w:hAnsi="宋体" w:cs="仿宋_GB2312" w:hint="eastAsia"/>
          <w:color w:val="000000"/>
          <w:sz w:val="32"/>
          <w:szCs w:val="32"/>
        </w:rPr>
        <w:t>个四级指标</w:t>
      </w:r>
    </w:p>
    <w:p w:rsidR="00EE1AE7" w:rsidRPr="00753A1E" w:rsidRDefault="00EE1AE7" w:rsidP="001D5925">
      <w:pPr>
        <w:jc w:val="center"/>
        <w:rPr>
          <w:rFonts w:ascii="仿宋_GB2312" w:eastAsia="仿宋_GB2312" w:hAnsi="微软雅黑"/>
          <w:color w:val="000000"/>
          <w:sz w:val="32"/>
          <w:szCs w:val="32"/>
        </w:rPr>
      </w:pPr>
      <w:r w:rsidRPr="004D5330">
        <w:rPr>
          <w:rFonts w:ascii="仿宋_GB2312" w:eastAsia="仿宋_GB2312" w:hAnsi="微软雅黑"/>
          <w:noProof/>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框 1025" o:spid="_x0000_i1025" type="#_x0000_t75" style="width:437.25pt;height:5in;visibility:visible">
            <v:imagedata r:id="rId6" o:title=""/>
          </v:shape>
        </w:pict>
      </w:r>
    </w:p>
    <w:p w:rsidR="00EE1AE7" w:rsidRDefault="00EE1AE7" w:rsidP="008F4969">
      <w:pPr>
        <w:spacing w:line="500" w:lineRule="exact"/>
        <w:jc w:val="center"/>
        <w:rPr>
          <w:rFonts w:ascii="仿宋_GB2312" w:eastAsia="仿宋_GB2312" w:hAnsi="微软雅黑"/>
          <w:sz w:val="32"/>
          <w:szCs w:val="32"/>
        </w:rPr>
      </w:pPr>
      <w:r w:rsidRPr="00753A1E">
        <w:rPr>
          <w:rFonts w:ascii="仿宋_GB2312" w:eastAsia="仿宋_GB2312" w:hAnsi="微软雅黑" w:cs="仿宋_GB2312" w:hint="eastAsia"/>
          <w:sz w:val="32"/>
          <w:szCs w:val="32"/>
        </w:rPr>
        <w:t>图</w:t>
      </w:r>
      <w:r w:rsidRPr="00753A1E">
        <w:rPr>
          <w:rFonts w:ascii="仿宋_GB2312" w:eastAsia="仿宋_GB2312" w:hAnsi="微软雅黑" w:cs="仿宋_GB2312"/>
          <w:sz w:val="32"/>
          <w:szCs w:val="32"/>
        </w:rPr>
        <w:fldChar w:fldCharType="begin"/>
      </w:r>
      <w:r w:rsidRPr="00753A1E">
        <w:rPr>
          <w:rFonts w:ascii="仿宋_GB2312" w:eastAsia="仿宋_GB2312" w:hAnsi="微软雅黑" w:cs="仿宋_GB2312"/>
          <w:sz w:val="32"/>
          <w:szCs w:val="32"/>
        </w:rPr>
        <w:instrText xml:space="preserve">SEQ </w:instrText>
      </w:r>
      <w:r w:rsidRPr="00753A1E">
        <w:rPr>
          <w:rFonts w:ascii="仿宋_GB2312" w:eastAsia="仿宋_GB2312" w:hAnsi="微软雅黑" w:cs="仿宋_GB2312" w:hint="eastAsia"/>
          <w:sz w:val="32"/>
          <w:szCs w:val="32"/>
        </w:rPr>
        <w:instrText>图</w:instrText>
      </w:r>
      <w:r w:rsidRPr="00753A1E">
        <w:rPr>
          <w:rFonts w:ascii="仿宋_GB2312" w:eastAsia="仿宋_GB2312" w:hAnsi="微软雅黑" w:cs="仿宋_GB2312"/>
          <w:sz w:val="32"/>
          <w:szCs w:val="32"/>
        </w:rPr>
        <w:instrText xml:space="preserve"> \* ARABIC</w:instrText>
      </w:r>
      <w:r w:rsidRPr="00753A1E">
        <w:rPr>
          <w:rFonts w:ascii="仿宋_GB2312" w:eastAsia="仿宋_GB2312" w:hAnsi="微软雅黑" w:cs="仿宋_GB2312"/>
          <w:sz w:val="32"/>
          <w:szCs w:val="32"/>
        </w:rPr>
        <w:fldChar w:fldCharType="separate"/>
      </w:r>
      <w:r w:rsidRPr="00753A1E">
        <w:rPr>
          <w:rFonts w:ascii="仿宋_GB2312" w:eastAsia="仿宋_GB2312" w:hAnsi="微软雅黑" w:cs="仿宋_GB2312"/>
          <w:noProof/>
          <w:sz w:val="32"/>
          <w:szCs w:val="32"/>
        </w:rPr>
        <w:t>1</w:t>
      </w:r>
      <w:r w:rsidRPr="00753A1E">
        <w:rPr>
          <w:rFonts w:ascii="仿宋_GB2312" w:eastAsia="仿宋_GB2312" w:hAnsi="微软雅黑" w:cs="仿宋_GB2312"/>
          <w:sz w:val="32"/>
          <w:szCs w:val="32"/>
        </w:rPr>
        <w:fldChar w:fldCharType="end"/>
      </w:r>
      <w:r w:rsidRPr="00753A1E">
        <w:rPr>
          <w:rFonts w:ascii="仿宋_GB2312" w:eastAsia="仿宋_GB2312" w:hAnsi="微软雅黑" w:cs="仿宋_GB2312" w:hint="eastAsia"/>
          <w:sz w:val="32"/>
          <w:szCs w:val="32"/>
        </w:rPr>
        <w:t>：</w:t>
      </w:r>
      <w:r w:rsidRPr="00753A1E">
        <w:rPr>
          <w:rFonts w:ascii="仿宋_GB2312" w:eastAsia="仿宋_GB2312" w:hAnsi="微软雅黑" w:cs="仿宋_GB2312"/>
          <w:sz w:val="32"/>
          <w:szCs w:val="32"/>
        </w:rPr>
        <w:t>2014</w:t>
      </w:r>
      <w:r w:rsidRPr="00753A1E">
        <w:rPr>
          <w:rFonts w:ascii="仿宋_GB2312" w:eastAsia="仿宋_GB2312" w:hAnsi="微软雅黑" w:cs="仿宋_GB2312" w:hint="eastAsia"/>
          <w:sz w:val="32"/>
          <w:szCs w:val="32"/>
        </w:rPr>
        <w:t>年度第六届“中国厨卫百强”</w:t>
      </w:r>
    </w:p>
    <w:p w:rsidR="00EE1AE7" w:rsidRPr="00753A1E" w:rsidRDefault="00EE1AE7" w:rsidP="008F4969">
      <w:pPr>
        <w:spacing w:line="500" w:lineRule="exact"/>
        <w:jc w:val="center"/>
        <w:rPr>
          <w:rFonts w:ascii="仿宋_GB2312" w:eastAsia="仿宋_GB2312" w:hAnsi="微软雅黑"/>
          <w:sz w:val="32"/>
          <w:szCs w:val="32"/>
        </w:rPr>
      </w:pPr>
      <w:r w:rsidRPr="00753A1E">
        <w:rPr>
          <w:rFonts w:ascii="仿宋_GB2312" w:eastAsia="仿宋_GB2312" w:hAnsi="微软雅黑" w:cs="仿宋_GB2312" w:hint="eastAsia"/>
          <w:sz w:val="32"/>
          <w:szCs w:val="32"/>
        </w:rPr>
        <w:t>品牌评价指数指标体系（暂定）</w:t>
      </w:r>
    </w:p>
    <w:p w:rsidR="00EE1AE7" w:rsidRDefault="00EE1AE7" w:rsidP="005A08DE">
      <w:pPr>
        <w:snapToGrid w:val="0"/>
        <w:spacing w:line="360" w:lineRule="auto"/>
        <w:ind w:rightChars="-30" w:right="31680"/>
        <w:rPr>
          <w:rFonts w:ascii="仿宋_GB2312" w:eastAsia="仿宋_GB2312" w:hAnsi="宋体"/>
          <w:color w:val="000000"/>
          <w:sz w:val="32"/>
          <w:szCs w:val="32"/>
        </w:rPr>
      </w:pPr>
      <w:r w:rsidRPr="00753A1E">
        <w:rPr>
          <w:rFonts w:ascii="仿宋_GB2312" w:eastAsia="仿宋_GB2312" w:hAnsi="宋体" w:cs="仿宋_GB2312" w:hint="eastAsia"/>
          <w:color w:val="000000"/>
          <w:sz w:val="32"/>
          <w:szCs w:val="32"/>
        </w:rPr>
        <w:t>构成，从企业的财务状况、营销能力、技术创新实力以及社会责任等方面对反映厨卫企业的综合实力。</w:t>
      </w:r>
    </w:p>
    <w:p w:rsidR="00EE1AE7" w:rsidRPr="00753A1E" w:rsidRDefault="00EE1AE7" w:rsidP="005A08DE">
      <w:pPr>
        <w:snapToGrid w:val="0"/>
        <w:spacing w:line="360" w:lineRule="auto"/>
        <w:ind w:rightChars="-30" w:right="31680" w:firstLineChars="200" w:firstLine="31680"/>
        <w:rPr>
          <w:rFonts w:ascii="仿宋_GB2312" w:eastAsia="仿宋_GB2312" w:hAnsi="微软雅黑"/>
          <w:sz w:val="32"/>
          <w:szCs w:val="32"/>
        </w:rPr>
      </w:pPr>
      <w:r w:rsidRPr="00753A1E">
        <w:rPr>
          <w:rFonts w:ascii="仿宋_GB2312" w:eastAsia="仿宋_GB2312" w:hAnsi="宋体" w:cs="仿宋_GB2312" w:hint="eastAsia"/>
          <w:color w:val="000000"/>
          <w:sz w:val="32"/>
          <w:szCs w:val="32"/>
        </w:rPr>
        <w:t>消费者指标由品牌认知指标、消费者口碑指标、品牌选择指标、品牌功能评价指标四个三级指标以及隶属其下的</w:t>
      </w:r>
      <w:r w:rsidRPr="00753A1E">
        <w:rPr>
          <w:rFonts w:ascii="仿宋_GB2312" w:eastAsia="仿宋_GB2312" w:hAnsi="宋体" w:cs="仿宋_GB2312"/>
          <w:color w:val="000000"/>
          <w:sz w:val="32"/>
          <w:szCs w:val="32"/>
        </w:rPr>
        <w:t>12</w:t>
      </w:r>
      <w:r w:rsidRPr="00753A1E">
        <w:rPr>
          <w:rFonts w:ascii="仿宋_GB2312" w:eastAsia="仿宋_GB2312" w:hAnsi="宋体" w:cs="仿宋_GB2312" w:hint="eastAsia"/>
          <w:color w:val="000000"/>
          <w:sz w:val="32"/>
          <w:szCs w:val="32"/>
        </w:rPr>
        <w:t>个四级指标构成，从消费者的角度，对厨卫企业的品牌知名度、产品功能、服务等方面进行评价。</w:t>
      </w:r>
    </w:p>
    <w:p w:rsidR="00EE1AE7" w:rsidRPr="00753A1E" w:rsidRDefault="00EE1AE7" w:rsidP="005A08DE">
      <w:pPr>
        <w:snapToGrid w:val="0"/>
        <w:spacing w:line="360" w:lineRule="auto"/>
        <w:ind w:rightChars="-30" w:right="31680" w:firstLineChars="196" w:firstLine="31680"/>
        <w:rPr>
          <w:rFonts w:ascii="仿宋_GB2312" w:eastAsia="仿宋_GB2312" w:hAnsi="宋体"/>
          <w:b/>
          <w:bCs/>
          <w:color w:val="000000"/>
          <w:sz w:val="32"/>
          <w:szCs w:val="32"/>
        </w:rPr>
      </w:pPr>
      <w:r w:rsidRPr="00753A1E">
        <w:rPr>
          <w:rFonts w:ascii="仿宋_GB2312" w:eastAsia="仿宋_GB2312" w:hAnsi="宋体" w:cs="仿宋_GB2312" w:hint="eastAsia"/>
          <w:b/>
          <w:bCs/>
          <w:color w:val="000000"/>
          <w:sz w:val="32"/>
          <w:szCs w:val="32"/>
        </w:rPr>
        <w:t>二、综合评价方法</w:t>
      </w:r>
    </w:p>
    <w:p w:rsidR="00EE1AE7" w:rsidRPr="00753A1E" w:rsidRDefault="00EE1AE7" w:rsidP="005A08DE">
      <w:pPr>
        <w:snapToGrid w:val="0"/>
        <w:spacing w:line="360" w:lineRule="auto"/>
        <w:ind w:rightChars="-30" w:right="31680" w:firstLineChars="200" w:firstLine="31680"/>
        <w:rPr>
          <w:rFonts w:ascii="仿宋_GB2312" w:eastAsia="仿宋_GB2312" w:hAnsi="宋体"/>
          <w:color w:val="000000"/>
          <w:sz w:val="32"/>
          <w:szCs w:val="32"/>
        </w:rPr>
      </w:pPr>
      <w:r w:rsidRPr="00753A1E">
        <w:rPr>
          <w:rFonts w:ascii="仿宋_GB2312" w:eastAsia="仿宋_GB2312" w:hAnsi="宋体" w:cs="仿宋_GB2312" w:hint="eastAsia"/>
          <w:color w:val="000000"/>
          <w:sz w:val="32"/>
          <w:szCs w:val="32"/>
        </w:rPr>
        <w:t>在研究方法上，为增加研究的严谨性，指标体系的构建将使用较为客观的结构方程的方法基于实证数据找寻变量之间的关系，对各指标赋予权重。</w:t>
      </w:r>
    </w:p>
    <w:p w:rsidR="00EE1AE7" w:rsidRPr="00753A1E" w:rsidRDefault="00EE1AE7" w:rsidP="005A08DE">
      <w:pPr>
        <w:snapToGrid w:val="0"/>
        <w:spacing w:line="360" w:lineRule="auto"/>
        <w:ind w:rightChars="-30" w:right="31680" w:firstLineChars="200" w:firstLine="31680"/>
        <w:rPr>
          <w:rFonts w:ascii="仿宋_GB2312" w:eastAsia="仿宋_GB2312" w:hAnsi="宋体"/>
          <w:color w:val="000000"/>
          <w:sz w:val="32"/>
          <w:szCs w:val="32"/>
        </w:rPr>
      </w:pPr>
      <w:r w:rsidRPr="00753A1E">
        <w:rPr>
          <w:rFonts w:ascii="仿宋_GB2312" w:eastAsia="仿宋_GB2312" w:hAnsi="宋体" w:cs="仿宋_GB2312" w:hint="eastAsia"/>
          <w:color w:val="000000"/>
          <w:sz w:val="32"/>
          <w:szCs w:val="32"/>
        </w:rPr>
        <w:t>结构方程模型</w:t>
      </w:r>
      <w:r w:rsidRPr="00753A1E">
        <w:rPr>
          <w:rFonts w:ascii="仿宋_GB2312" w:eastAsia="仿宋_GB2312" w:hAnsi="宋体" w:cs="仿宋_GB2312"/>
          <w:color w:val="000000"/>
          <w:sz w:val="32"/>
          <w:szCs w:val="32"/>
        </w:rPr>
        <w:t>(Structural Equation Modeling, SEM)</w:t>
      </w:r>
      <w:r w:rsidRPr="00753A1E">
        <w:rPr>
          <w:rFonts w:ascii="仿宋_GB2312" w:eastAsia="仿宋_GB2312" w:hAnsi="宋体" w:cs="仿宋_GB2312" w:hint="eastAsia"/>
          <w:color w:val="000000"/>
          <w:sz w:val="32"/>
          <w:szCs w:val="32"/>
        </w:rPr>
        <w:t>是一种建立、估计和检验因果关系模型的方法。模型中既包含有可观测的显在变量，也可能包含无法直接观测的潜在变量。结构方程模型可以替代多重回归、通径分析、因子分析、协方差分析等方法，清晰分析单项指标对总体的作用和单项指标间的相互关系。</w:t>
      </w:r>
    </w:p>
    <w:p w:rsidR="00EE1AE7" w:rsidRPr="00753A1E" w:rsidRDefault="00EE1AE7" w:rsidP="005A08DE">
      <w:pPr>
        <w:snapToGrid w:val="0"/>
        <w:spacing w:line="360" w:lineRule="auto"/>
        <w:ind w:rightChars="-30" w:right="31680" w:firstLineChars="200" w:firstLine="31680"/>
        <w:rPr>
          <w:rFonts w:ascii="仿宋_GB2312" w:eastAsia="仿宋_GB2312" w:hAnsi="宋体"/>
          <w:color w:val="000000"/>
          <w:sz w:val="32"/>
          <w:szCs w:val="32"/>
        </w:rPr>
      </w:pPr>
      <w:r w:rsidRPr="00753A1E">
        <w:rPr>
          <w:rFonts w:ascii="仿宋_GB2312" w:eastAsia="仿宋_GB2312" w:hAnsi="宋体" w:cs="仿宋_GB2312" w:hint="eastAsia"/>
          <w:color w:val="000000"/>
          <w:sz w:val="32"/>
          <w:szCs w:val="32"/>
        </w:rPr>
        <w:t>在对结构方程模型进行建模的过程中，至少要进行以下四个步骤以保证结构方程模型具有科学性，较高的信度与效度。</w:t>
      </w:r>
    </w:p>
    <w:p w:rsidR="00EE1AE7" w:rsidRPr="00753A1E" w:rsidRDefault="00EE1AE7" w:rsidP="005A08DE">
      <w:pPr>
        <w:snapToGrid w:val="0"/>
        <w:spacing w:line="360" w:lineRule="auto"/>
        <w:ind w:rightChars="-30" w:right="31680"/>
        <w:rPr>
          <w:rFonts w:ascii="仿宋_GB2312" w:eastAsia="仿宋_GB2312" w:hAnsi="宋体" w:cs="仿宋_GB2312"/>
          <w:color w:val="000000"/>
          <w:sz w:val="32"/>
          <w:szCs w:val="32"/>
        </w:rPr>
      </w:pPr>
      <w:r w:rsidRPr="00753A1E">
        <w:rPr>
          <w:rFonts w:ascii="仿宋_GB2312" w:eastAsia="仿宋_GB2312" w:hAnsi="仿宋_GB2312" w:cs="仿宋_GB2312" w:hint="eastAsia"/>
          <w:color w:val="000000"/>
          <w:sz w:val="32"/>
          <w:szCs w:val="32"/>
        </w:rPr>
        <w:t></w:t>
      </w:r>
      <w:r w:rsidRPr="00753A1E">
        <w:rPr>
          <w:rFonts w:ascii="仿宋_GB2312" w:eastAsia="仿宋_GB2312" w:hAnsi="宋体" w:cs="仿宋_GB2312"/>
          <w:color w:val="000000"/>
          <w:sz w:val="32"/>
          <w:szCs w:val="32"/>
        </w:rPr>
        <w:t xml:space="preserve">  </w:t>
      </w:r>
      <w:r w:rsidRPr="00753A1E">
        <w:rPr>
          <w:rFonts w:ascii="仿宋_GB2312" w:eastAsia="仿宋_GB2312" w:hAnsi="宋体" w:cs="仿宋_GB2312" w:hint="eastAsia"/>
          <w:color w:val="000000"/>
          <w:sz w:val="32"/>
          <w:szCs w:val="32"/>
        </w:rPr>
        <w:t>模型建构</w:t>
      </w:r>
      <w:r w:rsidRPr="00753A1E">
        <w:rPr>
          <w:rFonts w:ascii="仿宋_GB2312" w:eastAsia="仿宋_GB2312" w:hAnsi="宋体" w:cs="仿宋_GB2312"/>
          <w:color w:val="000000"/>
          <w:sz w:val="32"/>
          <w:szCs w:val="32"/>
        </w:rPr>
        <w:t>(model specification)</w:t>
      </w:r>
    </w:p>
    <w:p w:rsidR="00EE1AE7" w:rsidRPr="00753A1E" w:rsidRDefault="00EE1AE7" w:rsidP="005A08DE">
      <w:pPr>
        <w:snapToGrid w:val="0"/>
        <w:spacing w:line="360" w:lineRule="auto"/>
        <w:ind w:rightChars="-30" w:right="31680"/>
        <w:rPr>
          <w:rFonts w:ascii="仿宋_GB2312" w:eastAsia="仿宋_GB2312" w:hAnsi="宋体" w:cs="仿宋_GB2312"/>
          <w:color w:val="000000"/>
          <w:sz w:val="32"/>
          <w:szCs w:val="32"/>
        </w:rPr>
      </w:pPr>
      <w:r w:rsidRPr="00753A1E">
        <w:rPr>
          <w:rFonts w:ascii="仿宋_GB2312" w:eastAsia="仿宋_GB2312" w:hAnsi="仿宋_GB2312" w:cs="仿宋_GB2312" w:hint="eastAsia"/>
          <w:color w:val="000000"/>
          <w:sz w:val="32"/>
          <w:szCs w:val="32"/>
        </w:rPr>
        <w:t></w:t>
      </w:r>
      <w:r w:rsidRPr="00753A1E">
        <w:rPr>
          <w:rFonts w:ascii="仿宋_GB2312" w:eastAsia="仿宋_GB2312" w:hAnsi="宋体" w:cs="仿宋_GB2312"/>
          <w:color w:val="000000"/>
          <w:sz w:val="32"/>
          <w:szCs w:val="32"/>
        </w:rPr>
        <w:t xml:space="preserve">  </w:t>
      </w:r>
      <w:r w:rsidRPr="00753A1E">
        <w:rPr>
          <w:rFonts w:ascii="仿宋_GB2312" w:eastAsia="仿宋_GB2312" w:hAnsi="宋体" w:cs="仿宋_GB2312" w:hint="eastAsia"/>
          <w:color w:val="000000"/>
          <w:sz w:val="32"/>
          <w:szCs w:val="32"/>
        </w:rPr>
        <w:t>模型拟合</w:t>
      </w:r>
      <w:r w:rsidRPr="00753A1E">
        <w:rPr>
          <w:rFonts w:ascii="仿宋_GB2312" w:eastAsia="仿宋_GB2312" w:hAnsi="宋体" w:cs="仿宋_GB2312"/>
          <w:color w:val="000000"/>
          <w:sz w:val="32"/>
          <w:szCs w:val="32"/>
        </w:rPr>
        <w:t>(model fitting)</w:t>
      </w:r>
    </w:p>
    <w:p w:rsidR="00EE1AE7" w:rsidRPr="00753A1E" w:rsidRDefault="00EE1AE7" w:rsidP="005A08DE">
      <w:pPr>
        <w:snapToGrid w:val="0"/>
        <w:spacing w:line="360" w:lineRule="auto"/>
        <w:ind w:rightChars="-30" w:right="31680"/>
        <w:rPr>
          <w:rFonts w:ascii="仿宋_GB2312" w:eastAsia="仿宋_GB2312" w:hAnsi="宋体" w:cs="仿宋_GB2312"/>
          <w:color w:val="000000"/>
          <w:sz w:val="32"/>
          <w:szCs w:val="32"/>
        </w:rPr>
      </w:pPr>
      <w:r w:rsidRPr="00753A1E">
        <w:rPr>
          <w:rFonts w:ascii="仿宋_GB2312" w:eastAsia="仿宋_GB2312" w:hAnsi="仿宋_GB2312" w:cs="仿宋_GB2312" w:hint="eastAsia"/>
          <w:color w:val="000000"/>
          <w:sz w:val="32"/>
          <w:szCs w:val="32"/>
        </w:rPr>
        <w:t></w:t>
      </w:r>
      <w:r w:rsidRPr="00753A1E">
        <w:rPr>
          <w:rFonts w:ascii="仿宋_GB2312" w:eastAsia="仿宋_GB2312" w:hAnsi="宋体" w:cs="仿宋_GB2312"/>
          <w:color w:val="000000"/>
          <w:sz w:val="32"/>
          <w:szCs w:val="32"/>
        </w:rPr>
        <w:t xml:space="preserve">  </w:t>
      </w:r>
      <w:r w:rsidRPr="00753A1E">
        <w:rPr>
          <w:rFonts w:ascii="仿宋_GB2312" w:eastAsia="仿宋_GB2312" w:hAnsi="宋体" w:cs="仿宋_GB2312" w:hint="eastAsia"/>
          <w:color w:val="000000"/>
          <w:sz w:val="32"/>
          <w:szCs w:val="32"/>
        </w:rPr>
        <w:t>模型评价</w:t>
      </w:r>
      <w:r w:rsidRPr="00753A1E">
        <w:rPr>
          <w:rFonts w:ascii="仿宋_GB2312" w:eastAsia="仿宋_GB2312" w:hAnsi="宋体" w:cs="仿宋_GB2312"/>
          <w:color w:val="000000"/>
          <w:sz w:val="32"/>
          <w:szCs w:val="32"/>
        </w:rPr>
        <w:t>(model assessment)</w:t>
      </w:r>
    </w:p>
    <w:p w:rsidR="00EE1AE7" w:rsidRPr="00753A1E" w:rsidRDefault="00EE1AE7" w:rsidP="005A08DE">
      <w:pPr>
        <w:snapToGrid w:val="0"/>
        <w:spacing w:line="360" w:lineRule="auto"/>
        <w:ind w:rightChars="-30" w:right="31680"/>
        <w:rPr>
          <w:rFonts w:ascii="仿宋_GB2312" w:eastAsia="仿宋_GB2312" w:hAnsi="宋体" w:cs="仿宋_GB2312"/>
          <w:color w:val="000000"/>
          <w:sz w:val="32"/>
          <w:szCs w:val="32"/>
        </w:rPr>
      </w:pPr>
      <w:r w:rsidRPr="00753A1E">
        <w:rPr>
          <w:rFonts w:ascii="仿宋_GB2312" w:eastAsia="仿宋_GB2312" w:hAnsi="仿宋_GB2312" w:cs="仿宋_GB2312" w:hint="eastAsia"/>
          <w:color w:val="000000"/>
          <w:sz w:val="32"/>
          <w:szCs w:val="32"/>
        </w:rPr>
        <w:t></w:t>
      </w:r>
      <w:r w:rsidRPr="00753A1E">
        <w:rPr>
          <w:rFonts w:ascii="仿宋_GB2312" w:eastAsia="仿宋_GB2312" w:hAnsi="宋体" w:cs="仿宋_GB2312"/>
          <w:color w:val="000000"/>
          <w:sz w:val="32"/>
          <w:szCs w:val="32"/>
        </w:rPr>
        <w:t xml:space="preserve">  </w:t>
      </w:r>
      <w:r w:rsidRPr="00753A1E">
        <w:rPr>
          <w:rFonts w:ascii="仿宋_GB2312" w:eastAsia="仿宋_GB2312" w:hAnsi="宋体" w:cs="仿宋_GB2312" w:hint="eastAsia"/>
          <w:color w:val="000000"/>
          <w:sz w:val="32"/>
          <w:szCs w:val="32"/>
        </w:rPr>
        <w:t>模型修正</w:t>
      </w:r>
      <w:r w:rsidRPr="00753A1E">
        <w:rPr>
          <w:rFonts w:ascii="仿宋_GB2312" w:eastAsia="仿宋_GB2312" w:hAnsi="宋体" w:cs="仿宋_GB2312"/>
          <w:color w:val="000000"/>
          <w:sz w:val="32"/>
          <w:szCs w:val="32"/>
        </w:rPr>
        <w:t>(model modification)</w:t>
      </w:r>
    </w:p>
    <w:p w:rsidR="00EE1AE7" w:rsidRPr="00753A1E" w:rsidRDefault="00EE1AE7" w:rsidP="005A08DE">
      <w:pPr>
        <w:snapToGrid w:val="0"/>
        <w:spacing w:line="360" w:lineRule="auto"/>
        <w:ind w:rightChars="-30" w:right="31680"/>
        <w:rPr>
          <w:rFonts w:ascii="仿宋_GB2312" w:eastAsia="仿宋_GB2312" w:hAnsi="宋体"/>
          <w:color w:val="000000"/>
          <w:sz w:val="32"/>
          <w:szCs w:val="32"/>
        </w:rPr>
      </w:pPr>
      <w:r w:rsidRPr="00753A1E">
        <w:rPr>
          <w:rFonts w:ascii="仿宋_GB2312" w:eastAsia="仿宋_GB2312" w:hAnsi="宋体" w:cs="仿宋_GB2312"/>
          <w:color w:val="000000"/>
          <w:sz w:val="32"/>
          <w:szCs w:val="32"/>
        </w:rPr>
        <w:t xml:space="preserve">    </w:t>
      </w:r>
      <w:r w:rsidRPr="00753A1E">
        <w:rPr>
          <w:rFonts w:ascii="仿宋_GB2312" w:eastAsia="仿宋_GB2312" w:hAnsi="宋体" w:cs="仿宋_GB2312" w:hint="eastAsia"/>
          <w:color w:val="000000"/>
          <w:sz w:val="32"/>
          <w:szCs w:val="32"/>
        </w:rPr>
        <w:t>经过科学建模之后，得到的结构方程模型</w:t>
      </w:r>
      <w:r w:rsidRPr="00753A1E">
        <w:rPr>
          <w:rFonts w:ascii="仿宋_GB2312" w:eastAsia="仿宋_GB2312" w:hAnsi="宋体" w:cs="仿宋_GB2312"/>
          <w:color w:val="000000"/>
          <w:sz w:val="32"/>
          <w:szCs w:val="32"/>
        </w:rPr>
        <w:t>(SEM)</w:t>
      </w:r>
      <w:r w:rsidRPr="00753A1E">
        <w:rPr>
          <w:rFonts w:ascii="仿宋_GB2312" w:eastAsia="仿宋_GB2312" w:hAnsi="宋体" w:cs="仿宋_GB2312" w:hint="eastAsia"/>
          <w:color w:val="000000"/>
          <w:sz w:val="32"/>
          <w:szCs w:val="32"/>
        </w:rPr>
        <w:t>主要分为：</w:t>
      </w:r>
    </w:p>
    <w:p w:rsidR="00EE1AE7" w:rsidRPr="00753A1E" w:rsidRDefault="00EE1AE7" w:rsidP="005A08DE">
      <w:pPr>
        <w:snapToGrid w:val="0"/>
        <w:spacing w:line="360" w:lineRule="auto"/>
        <w:ind w:rightChars="-30" w:right="31680"/>
        <w:rPr>
          <w:rFonts w:ascii="仿宋_GB2312" w:eastAsia="仿宋_GB2312" w:hAnsi="宋体"/>
          <w:color w:val="000000"/>
          <w:sz w:val="32"/>
          <w:szCs w:val="32"/>
        </w:rPr>
      </w:pPr>
      <w:r w:rsidRPr="00753A1E">
        <w:rPr>
          <w:rFonts w:ascii="仿宋_GB2312" w:eastAsia="仿宋_GB2312" w:hAnsi="仿宋_GB2312" w:cs="仿宋_GB2312" w:hint="eastAsia"/>
          <w:color w:val="000000"/>
          <w:sz w:val="32"/>
          <w:szCs w:val="32"/>
        </w:rPr>
        <w:t></w:t>
      </w:r>
      <w:r w:rsidRPr="00753A1E">
        <w:rPr>
          <w:rFonts w:ascii="仿宋_GB2312" w:eastAsia="仿宋_GB2312" w:hAnsi="宋体" w:cs="仿宋_GB2312"/>
          <w:color w:val="000000"/>
          <w:sz w:val="32"/>
          <w:szCs w:val="32"/>
        </w:rPr>
        <w:t xml:space="preserve">  </w:t>
      </w:r>
      <w:r w:rsidRPr="00753A1E">
        <w:rPr>
          <w:rFonts w:ascii="仿宋_GB2312" w:eastAsia="仿宋_GB2312" w:hAnsi="宋体" w:cs="仿宋_GB2312" w:hint="eastAsia"/>
          <w:color w:val="000000"/>
          <w:sz w:val="32"/>
          <w:szCs w:val="32"/>
        </w:rPr>
        <w:t>测量方程</w:t>
      </w:r>
      <w:r w:rsidRPr="00753A1E">
        <w:rPr>
          <w:rFonts w:ascii="仿宋_GB2312" w:eastAsia="仿宋_GB2312" w:hAnsi="宋体" w:cs="仿宋_GB2312"/>
          <w:color w:val="000000"/>
          <w:sz w:val="32"/>
          <w:szCs w:val="32"/>
        </w:rPr>
        <w:t>(measurement equation)</w:t>
      </w:r>
      <w:r w:rsidRPr="00753A1E">
        <w:rPr>
          <w:rFonts w:ascii="仿宋_GB2312" w:eastAsia="仿宋_GB2312" w:hAnsi="宋体" w:cs="仿宋_GB2312" w:hint="eastAsia"/>
          <w:color w:val="000000"/>
          <w:sz w:val="32"/>
          <w:szCs w:val="32"/>
        </w:rPr>
        <w:t>：测量方程以描述潜变量与指标之间的关系，如产品质量与消费者产品评价之间的关系。</w:t>
      </w:r>
    </w:p>
    <w:p w:rsidR="00EE1AE7" w:rsidRPr="00753A1E" w:rsidRDefault="00EE1AE7" w:rsidP="005A08DE">
      <w:pPr>
        <w:snapToGrid w:val="0"/>
        <w:spacing w:line="360" w:lineRule="auto"/>
        <w:ind w:rightChars="-30" w:right="31680"/>
        <w:rPr>
          <w:rFonts w:ascii="仿宋_GB2312" w:eastAsia="仿宋_GB2312" w:hAnsi="宋体"/>
          <w:color w:val="000000"/>
          <w:sz w:val="32"/>
          <w:szCs w:val="32"/>
        </w:rPr>
      </w:pPr>
      <w:r w:rsidRPr="00753A1E">
        <w:rPr>
          <w:rFonts w:ascii="仿宋_GB2312" w:eastAsia="仿宋_GB2312" w:hAnsi="仿宋_GB2312" w:cs="仿宋_GB2312" w:hint="eastAsia"/>
          <w:color w:val="000000"/>
          <w:sz w:val="32"/>
          <w:szCs w:val="32"/>
        </w:rPr>
        <w:t></w:t>
      </w:r>
      <w:r w:rsidRPr="00753A1E">
        <w:rPr>
          <w:rFonts w:ascii="仿宋_GB2312" w:eastAsia="仿宋_GB2312" w:hAnsi="宋体" w:cs="仿宋_GB2312"/>
          <w:color w:val="000000"/>
          <w:sz w:val="32"/>
          <w:szCs w:val="32"/>
        </w:rPr>
        <w:t xml:space="preserve">  </w:t>
      </w:r>
      <w:r w:rsidRPr="00753A1E">
        <w:rPr>
          <w:rFonts w:ascii="仿宋_GB2312" w:eastAsia="仿宋_GB2312" w:hAnsi="宋体" w:cs="仿宋_GB2312" w:hint="eastAsia"/>
          <w:color w:val="000000"/>
          <w:sz w:val="32"/>
          <w:szCs w:val="32"/>
        </w:rPr>
        <w:t>结构方程</w:t>
      </w:r>
      <w:r w:rsidRPr="00753A1E">
        <w:rPr>
          <w:rFonts w:ascii="仿宋_GB2312" w:eastAsia="仿宋_GB2312" w:hAnsi="宋体" w:cs="仿宋_GB2312"/>
          <w:color w:val="000000"/>
          <w:sz w:val="32"/>
          <w:szCs w:val="32"/>
        </w:rPr>
        <w:t>(structural equation)</w:t>
      </w:r>
      <w:r w:rsidRPr="00753A1E">
        <w:rPr>
          <w:rFonts w:ascii="仿宋_GB2312" w:eastAsia="仿宋_GB2312" w:hAnsi="宋体" w:cs="仿宋_GB2312" w:hint="eastAsia"/>
          <w:color w:val="000000"/>
          <w:sz w:val="32"/>
          <w:szCs w:val="32"/>
        </w:rPr>
        <w:t>：描述潜变量之间的关系，如阅读量对个体阅读行为的影响。</w:t>
      </w:r>
    </w:p>
    <w:p w:rsidR="00EE1AE7" w:rsidRPr="00753A1E" w:rsidRDefault="00EE1AE7" w:rsidP="005A08DE">
      <w:pPr>
        <w:snapToGrid w:val="0"/>
        <w:spacing w:line="360" w:lineRule="auto"/>
        <w:ind w:rightChars="-30" w:right="31680"/>
        <w:rPr>
          <w:rFonts w:ascii="仿宋_GB2312" w:eastAsia="仿宋_GB2312" w:hAnsi="宋体"/>
          <w:color w:val="000000"/>
          <w:sz w:val="32"/>
          <w:szCs w:val="32"/>
        </w:rPr>
      </w:pPr>
      <w:r w:rsidRPr="00753A1E">
        <w:rPr>
          <w:rFonts w:ascii="仿宋_GB2312" w:eastAsia="仿宋_GB2312" w:hAnsi="宋体" w:cs="仿宋_GB2312"/>
          <w:color w:val="000000"/>
          <w:sz w:val="32"/>
          <w:szCs w:val="32"/>
        </w:rPr>
        <w:t xml:space="preserve">    </w:t>
      </w:r>
      <w:r w:rsidRPr="00753A1E">
        <w:rPr>
          <w:rFonts w:ascii="仿宋_GB2312" w:eastAsia="仿宋_GB2312" w:hAnsi="宋体" w:cs="仿宋_GB2312" w:hint="eastAsia"/>
          <w:color w:val="000000"/>
          <w:sz w:val="32"/>
          <w:szCs w:val="32"/>
        </w:rPr>
        <w:t>通过测量方程、结构方程的建立，多级指标、潜变量的关系得以呈现，同时可以确认其影响因素的关系类型（促进关系或阻碍关系）及重要性。</w:t>
      </w:r>
    </w:p>
    <w:p w:rsidR="00EE1AE7" w:rsidRPr="008F4969" w:rsidRDefault="00EE1AE7" w:rsidP="00A34008">
      <w:pPr>
        <w:snapToGrid w:val="0"/>
        <w:spacing w:line="360" w:lineRule="auto"/>
        <w:ind w:rightChars="-30" w:right="31680" w:firstLineChars="200" w:firstLine="31680"/>
        <w:rPr>
          <w:rFonts w:ascii="仿宋_GB2312" w:eastAsia="仿宋_GB2312" w:hAnsi="宋体"/>
          <w:color w:val="000000"/>
          <w:sz w:val="32"/>
          <w:szCs w:val="32"/>
        </w:rPr>
      </w:pPr>
      <w:r w:rsidRPr="008F4969">
        <w:rPr>
          <w:rFonts w:ascii="仿宋_GB2312" w:eastAsia="仿宋_GB2312" w:hAnsi="宋体" w:cs="仿宋_GB2312" w:hint="eastAsia"/>
          <w:color w:val="000000"/>
          <w:sz w:val="32"/>
          <w:szCs w:val="32"/>
        </w:rPr>
        <w:t>本次研究中的结构方程模型将在</w:t>
      </w:r>
      <w:r w:rsidRPr="008F4969">
        <w:rPr>
          <w:rFonts w:ascii="仿宋_GB2312" w:eastAsia="仿宋_GB2312" w:hAnsi="宋体" w:cs="仿宋_GB2312"/>
          <w:color w:val="000000"/>
          <w:sz w:val="32"/>
          <w:szCs w:val="32"/>
        </w:rPr>
        <w:t>AMOS7.0</w:t>
      </w:r>
      <w:r w:rsidRPr="008F4969">
        <w:rPr>
          <w:rFonts w:ascii="仿宋_GB2312" w:eastAsia="仿宋_GB2312" w:hAnsi="宋体" w:cs="仿宋_GB2312" w:hint="eastAsia"/>
          <w:color w:val="000000"/>
          <w:sz w:val="32"/>
          <w:szCs w:val="32"/>
        </w:rPr>
        <w:t>中完成建模过程。</w:t>
      </w:r>
      <w:r w:rsidRPr="008F4969">
        <w:rPr>
          <w:rFonts w:ascii="仿宋_GB2312" w:eastAsia="仿宋_GB2312" w:hAnsi="宋体" w:cs="仿宋_GB2312"/>
          <w:color w:val="000000"/>
          <w:sz w:val="32"/>
          <w:szCs w:val="32"/>
        </w:rPr>
        <w:t>AMOS7.0</w:t>
      </w:r>
      <w:r w:rsidRPr="008F4969">
        <w:rPr>
          <w:rFonts w:ascii="仿宋_GB2312" w:eastAsia="仿宋_GB2312" w:hAnsi="宋体" w:cs="仿宋_GB2312" w:hint="eastAsia"/>
          <w:color w:val="000000"/>
          <w:sz w:val="32"/>
          <w:szCs w:val="32"/>
        </w:rPr>
        <w:t>被学界、业界认为是结构方程模型建模的首选软件。此软件由知名统计软件研发公司</w:t>
      </w:r>
      <w:r w:rsidRPr="008F4969">
        <w:rPr>
          <w:rFonts w:ascii="仿宋_GB2312" w:eastAsia="仿宋_GB2312" w:hAnsi="宋体" w:cs="仿宋_GB2312"/>
          <w:color w:val="000000"/>
          <w:sz w:val="32"/>
          <w:szCs w:val="32"/>
        </w:rPr>
        <w:t>SPSS</w:t>
      </w:r>
      <w:r w:rsidRPr="008F4969">
        <w:rPr>
          <w:rFonts w:ascii="仿宋_GB2312" w:eastAsia="仿宋_GB2312" w:hAnsi="宋体" w:cs="仿宋_GB2312" w:hint="eastAsia"/>
          <w:color w:val="000000"/>
          <w:sz w:val="32"/>
          <w:szCs w:val="32"/>
        </w:rPr>
        <w:t>公司研发推出。在学术界，经由</w:t>
      </w:r>
      <w:r w:rsidRPr="008F4969">
        <w:rPr>
          <w:rFonts w:ascii="仿宋_GB2312" w:eastAsia="仿宋_GB2312" w:hAnsi="宋体" w:cs="仿宋_GB2312"/>
          <w:color w:val="000000"/>
          <w:sz w:val="32"/>
          <w:szCs w:val="32"/>
        </w:rPr>
        <w:t>AMOS</w:t>
      </w:r>
      <w:r w:rsidRPr="008F4969">
        <w:rPr>
          <w:rFonts w:ascii="仿宋_GB2312" w:eastAsia="仿宋_GB2312" w:hAnsi="宋体" w:cs="仿宋_GB2312" w:hint="eastAsia"/>
          <w:color w:val="000000"/>
          <w:sz w:val="32"/>
          <w:szCs w:val="32"/>
        </w:rPr>
        <w:t>对结构方程模型进行建模正成为经管、人文社科领域硕士、博士论文的标准模型配置。</w:t>
      </w:r>
    </w:p>
    <w:sectPr w:rsidR="00EE1AE7" w:rsidRPr="008F4969" w:rsidSect="005A08DE">
      <w:footerReference w:type="default" r:id="rId7"/>
      <w:pgSz w:w="11906" w:h="16838"/>
      <w:pgMar w:top="1440" w:right="1247" w:bottom="1440" w:left="1588" w:header="851" w:footer="992" w:gutter="0"/>
      <w:pgNumType w:fmt="numberInDash" w:start="6"/>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AE7" w:rsidRDefault="00EE1AE7" w:rsidP="00A03CEE">
      <w:r>
        <w:separator/>
      </w:r>
    </w:p>
  </w:endnote>
  <w:endnote w:type="continuationSeparator" w:id="0">
    <w:p w:rsidR="00EE1AE7" w:rsidRDefault="00EE1AE7" w:rsidP="00A03C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长城小标宋体">
    <w:altName w:val="黑体"/>
    <w:panose1 w:val="00000000000000000000"/>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altName w:val="宋体"/>
    <w:panose1 w:val="00000000000000000000"/>
    <w:charset w:val="86"/>
    <w:family w:val="swiss"/>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AE7" w:rsidRPr="005A08DE" w:rsidRDefault="00EE1AE7" w:rsidP="003C7E69">
    <w:pPr>
      <w:pStyle w:val="Footer"/>
      <w:framePr w:wrap="auto" w:vAnchor="text" w:hAnchor="margin" w:xAlign="outside" w:y="1"/>
      <w:rPr>
        <w:rStyle w:val="PageNumber"/>
        <w:rFonts w:ascii="仿宋_GB2312" w:eastAsia="仿宋_GB2312" w:cs="Times New Roman"/>
        <w:sz w:val="28"/>
        <w:szCs w:val="28"/>
      </w:rPr>
    </w:pPr>
    <w:r w:rsidRPr="005A08DE">
      <w:rPr>
        <w:rStyle w:val="PageNumber"/>
        <w:rFonts w:ascii="仿宋_GB2312" w:eastAsia="仿宋_GB2312" w:cs="仿宋_GB2312"/>
        <w:sz w:val="28"/>
        <w:szCs w:val="28"/>
      </w:rPr>
      <w:fldChar w:fldCharType="begin"/>
    </w:r>
    <w:r w:rsidRPr="005A08DE">
      <w:rPr>
        <w:rStyle w:val="PageNumber"/>
        <w:rFonts w:ascii="仿宋_GB2312" w:eastAsia="仿宋_GB2312" w:cs="仿宋_GB2312"/>
        <w:sz w:val="28"/>
        <w:szCs w:val="28"/>
      </w:rPr>
      <w:instrText xml:space="preserve">PAGE  </w:instrText>
    </w:r>
    <w:r w:rsidRPr="005A08DE">
      <w:rPr>
        <w:rStyle w:val="PageNumber"/>
        <w:rFonts w:ascii="仿宋_GB2312" w:eastAsia="仿宋_GB2312" w:cs="仿宋_GB2312"/>
        <w:sz w:val="28"/>
        <w:szCs w:val="28"/>
      </w:rPr>
      <w:fldChar w:fldCharType="separate"/>
    </w:r>
    <w:r>
      <w:rPr>
        <w:rStyle w:val="PageNumber"/>
        <w:rFonts w:ascii="仿宋_GB2312" w:eastAsia="仿宋_GB2312" w:cs="仿宋_GB2312"/>
        <w:noProof/>
        <w:sz w:val="28"/>
        <w:szCs w:val="28"/>
      </w:rPr>
      <w:t>- 7 -</w:t>
    </w:r>
    <w:r w:rsidRPr="005A08DE">
      <w:rPr>
        <w:rStyle w:val="PageNumber"/>
        <w:rFonts w:ascii="仿宋_GB2312" w:eastAsia="仿宋_GB2312" w:cs="仿宋_GB2312"/>
        <w:sz w:val="28"/>
        <w:szCs w:val="28"/>
      </w:rPr>
      <w:fldChar w:fldCharType="end"/>
    </w:r>
  </w:p>
  <w:p w:rsidR="00EE1AE7" w:rsidRDefault="00EE1AE7" w:rsidP="005A08DE">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AE7" w:rsidRDefault="00EE1AE7" w:rsidP="00A03CEE">
      <w:r>
        <w:separator/>
      </w:r>
    </w:p>
  </w:footnote>
  <w:footnote w:type="continuationSeparator" w:id="0">
    <w:p w:rsidR="00EE1AE7" w:rsidRDefault="00EE1AE7" w:rsidP="00A03C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3CEE"/>
    <w:rsid w:val="001D5925"/>
    <w:rsid w:val="003856B8"/>
    <w:rsid w:val="003C7E69"/>
    <w:rsid w:val="00467A5E"/>
    <w:rsid w:val="004D5330"/>
    <w:rsid w:val="004F571F"/>
    <w:rsid w:val="0053086E"/>
    <w:rsid w:val="005A08DE"/>
    <w:rsid w:val="00602154"/>
    <w:rsid w:val="00602C56"/>
    <w:rsid w:val="006F379B"/>
    <w:rsid w:val="00753A1E"/>
    <w:rsid w:val="008766DC"/>
    <w:rsid w:val="008B78E8"/>
    <w:rsid w:val="008E76F0"/>
    <w:rsid w:val="008F4969"/>
    <w:rsid w:val="009E3F10"/>
    <w:rsid w:val="00A03CEE"/>
    <w:rsid w:val="00A34008"/>
    <w:rsid w:val="00D27F5D"/>
    <w:rsid w:val="00DE581D"/>
    <w:rsid w:val="00EE1AE7"/>
    <w:rsid w:val="00EE631C"/>
    <w:rsid w:val="00EF7510"/>
    <w:rsid w:val="00F94F0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CEE"/>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03CEE"/>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semiHidden/>
    <w:locked/>
    <w:rsid w:val="00A03CEE"/>
    <w:rPr>
      <w:sz w:val="18"/>
      <w:szCs w:val="18"/>
    </w:rPr>
  </w:style>
  <w:style w:type="paragraph" w:styleId="Footer">
    <w:name w:val="footer"/>
    <w:basedOn w:val="Normal"/>
    <w:link w:val="FooterChar"/>
    <w:uiPriority w:val="99"/>
    <w:semiHidden/>
    <w:rsid w:val="00A03CEE"/>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semiHidden/>
    <w:locked/>
    <w:rsid w:val="00A03CEE"/>
    <w:rPr>
      <w:sz w:val="18"/>
      <w:szCs w:val="18"/>
    </w:rPr>
  </w:style>
  <w:style w:type="paragraph" w:styleId="NormalWeb">
    <w:name w:val="Normal (Web)"/>
    <w:basedOn w:val="Normal"/>
    <w:uiPriority w:val="99"/>
    <w:rsid w:val="00A03CEE"/>
    <w:pPr>
      <w:widowControl/>
      <w:spacing w:before="100" w:beforeAutospacing="1" w:after="100" w:afterAutospacing="1"/>
      <w:jc w:val="left"/>
    </w:pPr>
    <w:rPr>
      <w:rFonts w:ascii="宋体" w:hAnsi="宋体" w:cs="宋体"/>
      <w:kern w:val="0"/>
      <w:sz w:val="24"/>
      <w:szCs w:val="24"/>
    </w:rPr>
  </w:style>
  <w:style w:type="paragraph" w:styleId="BalloonText">
    <w:name w:val="Balloon Text"/>
    <w:basedOn w:val="Normal"/>
    <w:link w:val="BalloonTextChar"/>
    <w:uiPriority w:val="99"/>
    <w:semiHidden/>
    <w:rsid w:val="00A03CEE"/>
    <w:rPr>
      <w:sz w:val="18"/>
      <w:szCs w:val="18"/>
    </w:rPr>
  </w:style>
  <w:style w:type="character" w:customStyle="1" w:styleId="BalloonTextChar">
    <w:name w:val="Balloon Text Char"/>
    <w:basedOn w:val="DefaultParagraphFont"/>
    <w:link w:val="BalloonText"/>
    <w:uiPriority w:val="99"/>
    <w:semiHidden/>
    <w:locked/>
    <w:rsid w:val="00A03CEE"/>
    <w:rPr>
      <w:rFonts w:ascii="Times New Roman" w:eastAsia="宋体" w:hAnsi="Times New Roman" w:cs="Times New Roman"/>
      <w:sz w:val="18"/>
      <w:szCs w:val="18"/>
    </w:rPr>
  </w:style>
  <w:style w:type="character" w:styleId="PageNumber">
    <w:name w:val="page number"/>
    <w:basedOn w:val="DefaultParagraphFont"/>
    <w:uiPriority w:val="99"/>
    <w:rsid w:val="005A08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3</Pages>
  <Words>163</Words>
  <Characters>932</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GJ</cp:lastModifiedBy>
  <cp:revision>9</cp:revision>
  <cp:lastPrinted>2014-06-20T03:44:00Z</cp:lastPrinted>
  <dcterms:created xsi:type="dcterms:W3CDTF">2014-06-19T10:20:00Z</dcterms:created>
  <dcterms:modified xsi:type="dcterms:W3CDTF">2014-06-25T06:37:00Z</dcterms:modified>
</cp:coreProperties>
</file>